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EF7" w:rsidRDefault="00C05EF7" w:rsidP="00AB562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F5FC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4A5D63">
        <w:rPr>
          <w:rFonts w:ascii="Times New Roman" w:hAnsi="Times New Roman" w:cs="Times New Roman"/>
          <w:b/>
          <w:sz w:val="28"/>
          <w:szCs w:val="28"/>
        </w:rPr>
        <w:t>Электрические станции и подстанции</w:t>
      </w:r>
    </w:p>
    <w:p w:rsidR="00C05EF7" w:rsidRPr="00D75011" w:rsidRDefault="00C05EF7" w:rsidP="00AB562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A5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Лекция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№7</w:t>
      </w:r>
      <w:r w:rsidRPr="00D75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ГЛАВНЫЕ СХЕМЫ ЭЛЕКТРИЧЕСКИХ СОЕДИНЕНИЙ СТАНЦИЙ И ПОДСТАНЦИЙ.</w:t>
      </w:r>
    </w:p>
    <w:sdt>
      <w:sdtPr>
        <w:id w:val="-67535041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845578" w:rsidRDefault="00845578" w:rsidP="00845578">
          <w:pPr>
            <w:pStyle w:val="a5"/>
            <w:spacing w:before="0" w:line="240" w:lineRule="auto"/>
          </w:pPr>
          <w:r>
            <w:t>Оглавление</w:t>
          </w:r>
        </w:p>
        <w:p w:rsidR="00845578" w:rsidRPr="00845578" w:rsidRDefault="00845578" w:rsidP="00845578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7400411" w:history="1">
            <w:r w:rsidRPr="00845578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7.1 Структурные схемы электрической части станций</w:t>
            </w:r>
            <w:r w:rsidRPr="008455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455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455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_Toc427400411 \h </w:instrText>
            </w:r>
            <w:r w:rsidRPr="008455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455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455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Pr="008455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5578" w:rsidRPr="00845578" w:rsidRDefault="00845578" w:rsidP="00845578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27400412" w:history="1">
            <w:r w:rsidRPr="00845578">
              <w:rPr>
                <w:rStyle w:val="a6"/>
                <w:rFonts w:ascii="Times New Roman" w:eastAsia="Times New Roman" w:hAnsi="Times New Roman" w:cs="Times New Roman"/>
                <w:noProof/>
                <w:spacing w:val="-5"/>
                <w:sz w:val="28"/>
                <w:szCs w:val="28"/>
                <w:lang w:eastAsia="ru-RU"/>
              </w:rPr>
              <w:t>7.2 Типовые структурные схемы районных подстанций</w:t>
            </w:r>
            <w:r w:rsidRPr="008455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455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455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_Toc427400412 \h </w:instrText>
            </w:r>
            <w:r w:rsidRPr="008455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455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455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455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5578" w:rsidRDefault="00845578" w:rsidP="00845578">
          <w:pPr>
            <w:pStyle w:val="11"/>
            <w:tabs>
              <w:tab w:val="right" w:leader="dot" w:pos="9345"/>
            </w:tabs>
            <w:spacing w:after="0" w:line="240" w:lineRule="auto"/>
            <w:rPr>
              <w:noProof/>
            </w:rPr>
          </w:pPr>
          <w:hyperlink w:anchor="_Toc427400413" w:history="1">
            <w:r w:rsidRPr="00845578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7.3 Выбор номинальной мощности трансформатора</w:t>
            </w:r>
            <w:r w:rsidRPr="008455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455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455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_Toc427400413 \h </w:instrText>
            </w:r>
            <w:r w:rsidRPr="008455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455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455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8455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5578" w:rsidRDefault="00845578" w:rsidP="00845578">
          <w:pPr>
            <w:pStyle w:val="11"/>
            <w:tabs>
              <w:tab w:val="right" w:leader="dot" w:pos="9345"/>
            </w:tabs>
            <w:spacing w:after="0" w:line="240" w:lineRule="auto"/>
            <w:rPr>
              <w:noProof/>
            </w:rPr>
          </w:pPr>
          <w:hyperlink w:anchor="_Toc427400414" w:history="1">
            <w:r w:rsidRPr="0059495B">
              <w:rPr>
                <w:rStyle w:val="a6"/>
                <w:rFonts w:ascii="Times New Roman" w:eastAsia="Times New Roman" w:hAnsi="Times New Roman" w:cs="Times New Roman"/>
                <w:noProof/>
                <w:spacing w:val="-3"/>
                <w:lang w:eastAsia="ru-RU"/>
              </w:rPr>
              <w:t>7.4 Выбор</w:t>
            </w:r>
            <w:r w:rsidRPr="0059495B">
              <w:rPr>
                <w:rStyle w:val="a6"/>
                <w:rFonts w:ascii="Times New Roman" w:eastAsia="Times New Roman" w:hAnsi="Times New Roman" w:cs="Arial"/>
                <w:noProof/>
                <w:spacing w:val="-3"/>
                <w:lang w:eastAsia="ru-RU"/>
              </w:rPr>
              <w:t xml:space="preserve"> </w:t>
            </w:r>
            <w:r w:rsidRPr="0059495B">
              <w:rPr>
                <w:rStyle w:val="a6"/>
                <w:rFonts w:ascii="Times New Roman" w:eastAsia="Times New Roman" w:hAnsi="Times New Roman" w:cs="Times New Roman"/>
                <w:noProof/>
                <w:spacing w:val="-3"/>
                <w:lang w:eastAsia="ru-RU"/>
              </w:rPr>
              <w:t>генераторов</w:t>
            </w:r>
            <w:r w:rsidRPr="0059495B">
              <w:rPr>
                <w:rStyle w:val="a6"/>
                <w:rFonts w:ascii="Times New Roman" w:eastAsia="Times New Roman" w:hAnsi="Times New Roman" w:cs="Arial"/>
                <w:noProof/>
                <w:spacing w:val="-3"/>
                <w:lang w:eastAsia="ru-RU"/>
              </w:rPr>
              <w:t>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_Toc427400414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5EF7" w:rsidRPr="00845578" w:rsidRDefault="00845578" w:rsidP="00845578">
          <w:pPr>
            <w:spacing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:rsidR="00C05EF7" w:rsidRPr="00D75011" w:rsidRDefault="00845578" w:rsidP="00845578">
      <w:pPr>
        <w:pStyle w:val="1"/>
        <w:spacing w:before="0" w:after="120" w:line="240" w:lineRule="auto"/>
        <w:rPr>
          <w:rFonts w:ascii="Times New Roman" w:eastAsia="Times New Roman" w:hAnsi="Times New Roman" w:cs="Times New Roman"/>
          <w:b w:val="0"/>
          <w:lang w:eastAsia="ru-RU"/>
        </w:rPr>
      </w:pPr>
      <w:bookmarkStart w:id="0" w:name="_Toc427400411"/>
      <w:r>
        <w:rPr>
          <w:rFonts w:ascii="Times New Roman" w:eastAsia="Times New Roman" w:hAnsi="Times New Roman" w:cs="Times New Roman"/>
          <w:lang w:eastAsia="ru-RU"/>
        </w:rPr>
        <w:tab/>
      </w:r>
      <w:r w:rsidR="00C05EF7">
        <w:rPr>
          <w:rFonts w:ascii="Times New Roman" w:eastAsia="Times New Roman" w:hAnsi="Times New Roman" w:cs="Times New Roman"/>
          <w:lang w:eastAsia="ru-RU"/>
        </w:rPr>
        <w:t>7.1 Структурные схемы электрической части станций</w:t>
      </w:r>
      <w:bookmarkEnd w:id="0"/>
    </w:p>
    <w:p w:rsidR="00C05EF7" w:rsidRPr="00D75011" w:rsidRDefault="00C05EF7" w:rsidP="00C05E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Структурная схема электрической части станции задает распределение </w:t>
      </w:r>
      <w:bookmarkStart w:id="1" w:name="_GoBack"/>
      <w:bookmarkEnd w:id="1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генераторов между РУ различных напряжений, определяет электромагнитные связи (трансформаторные или автотрансформаторные) между РУ и состав блоков генератор — трансформатор. Выбор структурной схемы основывается на </w:t>
      </w:r>
      <w:proofErr w:type="gramStart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сравнении</w:t>
      </w:r>
      <w:proofErr w:type="gramEnd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возможных вариантов по технико-экономическим критериям, и лишь в простейших случаях (подстанция с двумя напряжениями, ГЭС с двумя агрегатами и т. п.) составление структурной схемы приводит к однозначному, чаще всего типовому, решению.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вариант структурной схемы представляет собой технически возможное решение, для которого выбираются тран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сформаторы и оцениваются приведё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нные затрат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ы. Вариант с наименьшими приведё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нными затратами принимается для дальнейшей проработки схем РУ. Если несколько вари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антов попадают в зону неопределё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нности по приведенным затратам, с </w:t>
      </w:r>
      <w:proofErr w:type="spellStart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</w:t>
      </w:r>
      <w:proofErr w:type="spellEnd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капиталовложений, издержек и стоимости потерь, то наилучший вариант выбирается с помощью комплексной оценки качества. Возможно также решение о дальнейшей разработке двух-трех вариантов структурной схемы до вариантов главной схемы электрических соединений.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10" w:righ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составлении структурной схемы станции (подстанции) </w:t>
      </w:r>
      <w:proofErr w:type="spellStart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</w:t>
      </w:r>
      <w:proofErr w:type="spellEnd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токов </w:t>
      </w:r>
      <w:proofErr w:type="gramStart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gramEnd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производятся, выключатели выбираются только по номинальным напряжениям и максимальным токам ячеек трансформаторов и автотрансформаторов.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7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рис. 7.1 приведены схемы блоков генератор — трансформатор. Укрупнение блоков экономически целесообразно. Однако мощность блока не должна превышать допустимой по условиям устойчивости и резервирования в системе.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7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A4FE156" wp14:editId="55846BEB">
            <wp:extent cx="4127500" cy="1638300"/>
            <wp:effectExtent l="0" t="0" r="6350" b="0"/>
            <wp:docPr id="1" name="Рисунок 1" descr="prob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ba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84"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 7.1. Схемы блоков генератор – трансформатор: </w:t>
      </w:r>
      <w:r w:rsidRPr="00D75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– единичный без генераторного выключателя; б – единичный с генераторным выключателем; в – </w:t>
      </w:r>
      <w:r w:rsidR="001A4051" w:rsidRPr="00D750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объединённый</w:t>
      </w:r>
      <w:r w:rsidRPr="00D75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г – </w:t>
      </w:r>
      <w:r w:rsidR="001A4051" w:rsidRPr="00D7501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укрупнённый</w:t>
      </w:r>
      <w:r w:rsidRPr="00D75011">
        <w:rPr>
          <w:rFonts w:ascii="Times New Roman" w:eastAsia="Times New Roman" w:hAnsi="Times New Roman" w:cs="Times New Roman"/>
          <w:sz w:val="24"/>
          <w:szCs w:val="24"/>
          <w:lang w:eastAsia="ru-RU"/>
        </w:rPr>
        <w:t>; д,е – сдвоенные.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7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EF7" w:rsidRPr="00D75011" w:rsidRDefault="00C05EF7" w:rsidP="00C05EF7">
      <w:pPr>
        <w:shd w:val="clear" w:color="auto" w:fill="FFFFFF"/>
        <w:spacing w:after="0" w:line="240" w:lineRule="auto"/>
        <w:ind w:lef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генераторных выключателей </w:t>
      </w:r>
      <w:proofErr w:type="gramStart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снижает число коммутаций</w:t>
      </w:r>
      <w:proofErr w:type="gramEnd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РУ повышенного напряжения и РУСН и повышает надежность работы РУ за счет локализации отказов генератора и турбины. Генераторный выключатель повышает в целом надежность блока, так как упрощает эксплуатацию и  позволяет пускать и останавливать блок без переключений СН на резервный трансформатор. С другой стороны, наличие генераторного выключателя как дополнительного элемента понижает безотказность самого блока. Кроме того, для блоков мощностью свыше 500 МВт генераторные выключатели не выпускаются. Для блоков 800 МВт и более освоен выпуск выключателей нагрузки КАГ (комплекс аппаратный генераторный), которые предназначены для включения и отключения генератора, но не позволяют отключать токи КЗ.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2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A405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объединённых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1A405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укрупнённых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блоках и блоках с автотрансформаторами генераторные выключатели ставятся всегда, как и в единичных блоках пиковых электростанций. Генераторные выключатели необходимы также в единичных блоках, если РУ выполняется по схеме многоугольника, схеме </w:t>
      </w:r>
      <w:r w:rsidRPr="00D7501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/2 или </w:t>
      </w:r>
      <w:r w:rsidRPr="00D7501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/з.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righ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Структурные схемы электростанций с мощными блоками показаны на рис. 7.2. </w:t>
      </w:r>
      <w:proofErr w:type="gramStart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</w:t>
      </w:r>
      <w:proofErr w:type="gramEnd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D75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применяется в том случае, когда имеется одно повышенное напряжение. При использовании схемы </w:t>
      </w:r>
      <w:r w:rsidRPr="00D7501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</w:t>
      </w:r>
      <w:r w:rsidRPr="00D75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мощность блоков, </w:t>
      </w:r>
      <w:r w:rsidR="001A405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присоединённых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РУ среднего напряжения, должна быть равна мощности, выдаваемой в сеть среднего напряжения. </w:t>
      </w:r>
      <w:proofErr w:type="gramStart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Схема </w:t>
      </w:r>
      <w:r w:rsidRPr="00D7501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</w:t>
      </w:r>
      <w:r w:rsidRPr="00D75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составлена так, чтобы в РУ среднего напряжения был избыток генерирующей мощности, так как при автотрансформаторной связи передача мощности со стороны высшего в сторону среднего напряжения недопустима по условию загрузки общей обмотки при номинальной нагрузке третичной обмотки.</w:t>
      </w:r>
      <w:proofErr w:type="gramEnd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Схема </w:t>
      </w:r>
      <w:proofErr w:type="gramStart"/>
      <w:r w:rsidRPr="00D7501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</w:t>
      </w:r>
      <w:proofErr w:type="gramEnd"/>
      <w:r w:rsidRPr="00D7501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применяется при небольшой доле мощности, выдаваемой на среднем напряжении. Если сеть среднего напряжения имеет </w:t>
      </w:r>
      <w:r w:rsidR="001A405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незаземлённую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компенсированную           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righ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42D01BE" wp14:editId="5DA8BB06">
            <wp:extent cx="2921000" cy="2794000"/>
            <wp:effectExtent l="0" t="0" r="0" b="6350"/>
            <wp:docPr id="2" name="Рисунок 2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ob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279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EF7" w:rsidRPr="00D75011" w:rsidRDefault="00C05EF7" w:rsidP="00C05EF7">
      <w:pPr>
        <w:shd w:val="clear" w:color="auto" w:fill="FFFFFF"/>
        <w:spacing w:after="0" w:line="240" w:lineRule="auto"/>
        <w:ind w:righ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7.2. Структурные схемы электростанций с мощными блоками.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righ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EF7" w:rsidRPr="00D75011" w:rsidRDefault="00C05EF7" w:rsidP="00C05EF7">
      <w:pPr>
        <w:shd w:val="clear" w:color="auto" w:fill="FFFFFF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нейтраль, то вместо автотрансформаторов в схемах </w:t>
      </w:r>
      <w:r w:rsidRPr="00D7501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</w:t>
      </w:r>
      <w:r w:rsidRPr="00D75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D75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Pr="00D7501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</w:t>
      </w:r>
      <w:r w:rsidRPr="00D75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устанавливаются</w:t>
      </w:r>
      <w:proofErr w:type="gramEnd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трехобмоточные трансформаторы. 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Структурные схемы ТЭЦ приведены на рис. 7.3. 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1BCFB0" wp14:editId="1EFB6C1B">
            <wp:extent cx="3708400" cy="4191000"/>
            <wp:effectExtent l="0" t="0" r="6350" b="0"/>
            <wp:docPr id="3" name="Рисунок 3" descr="prob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ba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12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 7.3. Структурные схемы ТЭЦ 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C05EF7" w:rsidRPr="00D75011" w:rsidRDefault="00C05EF7" w:rsidP="00C05E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C05EF7" w:rsidRPr="00D75011" w:rsidRDefault="00C05EF7" w:rsidP="00C05E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Если </w:t>
      </w:r>
      <w:r w:rsidRPr="00D75011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мощность местной нагрузки б—10 кВ не менее 50 % установлен</w:t>
      </w:r>
      <w:r w:rsidRPr="00D7501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ной мощности, а мощность агрегатов 30—60 МВт, то целесообразны схемы </w:t>
      </w:r>
      <w:r w:rsidRPr="00D75011">
        <w:rPr>
          <w:rFonts w:ascii="Times New Roman" w:eastAsia="Times New Roman" w:hAnsi="Times New Roman" w:cs="Times New Roman"/>
          <w:i/>
          <w:spacing w:val="-8"/>
          <w:sz w:val="28"/>
          <w:szCs w:val="28"/>
          <w:lang w:eastAsia="ru-RU"/>
        </w:rPr>
        <w:t xml:space="preserve">а, </w:t>
      </w:r>
      <w:proofErr w:type="gramStart"/>
      <w:r w:rsidRPr="00D75011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  <w:lang w:eastAsia="ru-RU"/>
        </w:rPr>
        <w:t>б</w:t>
      </w:r>
      <w:proofErr w:type="gramEnd"/>
      <w:r w:rsidRPr="00D75011">
        <w:rPr>
          <w:rFonts w:ascii="Times New Roman" w:eastAsia="Times New Roman" w:hAnsi="Times New Roman" w:cs="Times New Roman"/>
          <w:iCs/>
          <w:spacing w:val="-8"/>
          <w:sz w:val="28"/>
          <w:szCs w:val="28"/>
          <w:lang w:eastAsia="ru-RU"/>
        </w:rPr>
        <w:t xml:space="preserve">. </w:t>
      </w:r>
      <w:r w:rsidRPr="00D7501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При </w:t>
      </w:r>
      <w:r w:rsidRPr="00D7501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lastRenderedPageBreak/>
        <w:t>наличии местной нагрузки на двух на</w:t>
      </w:r>
      <w:r w:rsidRPr="00D7501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пряжениях применяются схемы </w:t>
      </w:r>
      <w:r w:rsidRPr="00D75011">
        <w:rPr>
          <w:rFonts w:ascii="Times New Roman" w:eastAsia="Times New Roman" w:hAnsi="Times New Roman" w:cs="Times New Roman"/>
          <w:i/>
          <w:iCs/>
          <w:spacing w:val="60"/>
          <w:sz w:val="28"/>
          <w:szCs w:val="28"/>
          <w:lang w:eastAsia="ru-RU"/>
        </w:rPr>
        <w:t>в</w:t>
      </w:r>
      <w:r w:rsidRPr="00D75011">
        <w:rPr>
          <w:rFonts w:ascii="Times New Roman" w:eastAsia="Times New Roman" w:hAnsi="Times New Roman" w:cs="Times New Roman"/>
          <w:iCs/>
          <w:spacing w:val="60"/>
          <w:sz w:val="28"/>
          <w:szCs w:val="28"/>
          <w:lang w:eastAsia="ru-RU"/>
        </w:rPr>
        <w:t>и</w:t>
      </w:r>
      <w:r w:rsidRPr="00D75011">
        <w:rPr>
          <w:rFonts w:ascii="Times New Roman" w:eastAsia="Times New Roman" w:hAnsi="Times New Roman" w:cs="Times New Roman"/>
          <w:i/>
          <w:iCs/>
          <w:spacing w:val="60"/>
          <w:sz w:val="28"/>
          <w:szCs w:val="28"/>
          <w:lang w:eastAsia="ru-RU"/>
        </w:rPr>
        <w:t>г</w:t>
      </w:r>
      <w:r w:rsidRPr="00D75011">
        <w:rPr>
          <w:rFonts w:ascii="Times New Roman" w:eastAsia="Times New Roman" w:hAnsi="Times New Roman" w:cs="Times New Roman"/>
          <w:iCs/>
          <w:spacing w:val="60"/>
          <w:sz w:val="28"/>
          <w:szCs w:val="28"/>
          <w:lang w:eastAsia="ru-RU"/>
        </w:rPr>
        <w:t>.</w:t>
      </w:r>
      <w:r w:rsidRPr="00D75011">
        <w:rPr>
          <w:rFonts w:ascii="Times New Roman" w:eastAsia="Times New Roman" w:hAnsi="Times New Roman" w:cs="Times New Roman"/>
          <w:iCs/>
          <w:spacing w:val="-10"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Если мощность местной </w:t>
      </w:r>
      <w:r w:rsidRPr="00D7501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нагрузки менее 30 % установленной мощности генераторов ТЭЦ, </w:t>
      </w:r>
      <w:r w:rsidRPr="00D75011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то применяются схемы </w:t>
      </w:r>
      <w:r w:rsidRPr="00D75011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  <w:lang w:eastAsia="ru-RU"/>
        </w:rPr>
        <w:t>д</w:t>
      </w:r>
      <w:r w:rsidRPr="00D75011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 xml:space="preserve"> и </w:t>
      </w:r>
      <w:r w:rsidRPr="00D75011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  <w:lang w:eastAsia="ru-RU"/>
        </w:rPr>
        <w:t>е.</w:t>
      </w:r>
      <w:r w:rsidRPr="00D75011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Номинальное напряжение совре</w:t>
      </w:r>
      <w:r w:rsidRPr="00D7501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менных генераторов теплофикационных блоков мощностью более 100 МВт—13,8—18 кВ, и, следовательно, местная на</w:t>
      </w:r>
      <w:r w:rsidRPr="00D7501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грузка 6—10 кВ может быть присоединена к этим блокам только через понижающий трансформатор, включенный между генера</w:t>
      </w:r>
      <w:r w:rsidRPr="00D7501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торным выключателем и блочным трансформатором.</w:t>
      </w:r>
    </w:p>
    <w:p w:rsidR="001A4051" w:rsidRDefault="004613A5" w:rsidP="004613A5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spacing w:val="-5"/>
          <w:lang w:eastAsia="ru-RU"/>
        </w:rPr>
      </w:pPr>
      <w:bookmarkStart w:id="2" w:name="_Toc427400412"/>
      <w:r>
        <w:rPr>
          <w:rFonts w:ascii="Times New Roman" w:eastAsia="Times New Roman" w:hAnsi="Times New Roman" w:cs="Times New Roman"/>
          <w:spacing w:val="-5"/>
          <w:lang w:eastAsia="ru-RU"/>
        </w:rPr>
        <w:tab/>
      </w:r>
      <w:r w:rsidR="001A4051">
        <w:rPr>
          <w:rFonts w:ascii="Times New Roman" w:eastAsia="Times New Roman" w:hAnsi="Times New Roman" w:cs="Times New Roman"/>
          <w:spacing w:val="-5"/>
          <w:lang w:eastAsia="ru-RU"/>
        </w:rPr>
        <w:t xml:space="preserve">7.2 </w:t>
      </w:r>
      <w:r w:rsidR="001A4051" w:rsidRPr="00D75011">
        <w:rPr>
          <w:rFonts w:ascii="Times New Roman" w:eastAsia="Times New Roman" w:hAnsi="Times New Roman" w:cs="Times New Roman"/>
          <w:spacing w:val="-5"/>
          <w:lang w:eastAsia="ru-RU"/>
        </w:rPr>
        <w:t>Типовые структурные схемы районных подстанций</w:t>
      </w:r>
      <w:bookmarkEnd w:id="2"/>
    </w:p>
    <w:p w:rsidR="00C05EF7" w:rsidRPr="00D75011" w:rsidRDefault="00C05EF7" w:rsidP="00C05EF7">
      <w:pPr>
        <w:shd w:val="clear" w:color="auto" w:fill="FFFFFF"/>
        <w:spacing w:after="0" w:line="240" w:lineRule="auto"/>
        <w:ind w:left="2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Типовые структурные схемы районных подстанций с тремя </w:t>
      </w:r>
      <w:r w:rsidRPr="00D7501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или двумя напряжениями приведены на рис. 7.4. На этих под</w:t>
      </w:r>
      <w:r w:rsidRPr="00D7501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станциях устанавливается, как правило, два трансформатора. </w:t>
      </w:r>
      <w:r w:rsidRPr="00D7501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Структурные схемы узловых подстанций энергосистем состав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ляются на основе оценки направлений и значений 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22" w:right="2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6F0121" wp14:editId="738B271A">
            <wp:extent cx="4305300" cy="2108200"/>
            <wp:effectExtent l="0" t="0" r="0" b="6350"/>
            <wp:docPr id="4" name="Рисунок 4" descr="prob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oba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0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22" w:right="2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7.4 .Типовые структурные схемы районных подстанций.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22" w:right="2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EF7" w:rsidRPr="00D75011" w:rsidRDefault="00C05EF7" w:rsidP="00C05EF7">
      <w:pPr>
        <w:shd w:val="clear" w:color="auto" w:fill="FFFFFF"/>
        <w:spacing w:after="0" w:line="240" w:lineRule="auto"/>
        <w:ind w:left="5"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мощностей в узле при различных режимах и требования </w:t>
      </w:r>
      <w:proofErr w:type="spellStart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надежной</w:t>
      </w:r>
      <w:proofErr w:type="spellEnd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между сетями при повреждениях трансформаторов и секций шин.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Выбор трансформаторов.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Выбор трансформаторов заключается в определении их числа, типа и номинальной мощности. Рекомендуется применять трехфазные трансформаторы. В тех случаях, когда невозможно изготовление трехфазных трансформаторов очень большой мощности или имеются ограничения при транспортировке (железная дорога, горные условия и др.), допускается применение групп из двух трехфазных или трех однофазных трансформаторов.</w:t>
      </w:r>
    </w:p>
    <w:p w:rsidR="00C05EF7" w:rsidRPr="00D75011" w:rsidRDefault="00C05EF7" w:rsidP="00C05EF7">
      <w:pPr>
        <w:shd w:val="clear" w:color="auto" w:fill="FFFFFF"/>
        <w:spacing w:before="2" w:after="0" w:line="240" w:lineRule="auto"/>
        <w:ind w:right="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Резервный однофазный трансформатор предусматривается один на девять устанавливаемых однофазных единиц. При установке одной группы однофазных автотрансформаторов для связи между РУ среднего и высшего напряжений возможно обоснование резервной фазы по условиям обеспечения </w:t>
      </w:r>
      <w:r w:rsidR="00237C3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надёжной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сети. Резервная фаза подключается вместо ремонтируемой путем перекатки и перестановки.</w:t>
      </w:r>
    </w:p>
    <w:p w:rsidR="00C05EF7" w:rsidRDefault="00C05EF7" w:rsidP="00C05EF7">
      <w:pPr>
        <w:shd w:val="clear" w:color="auto" w:fill="FFFFFF"/>
        <w:spacing w:after="0" w:line="240" w:lineRule="auto"/>
        <w:ind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трехобмоточные трансформаторы и автотрансформаторы, а также двухобмоточные трансформаторы подстанций и станций (кроме блочных) должны иметь встроенные устройства регулирования напряжения под нагрузкой (РПН).</w:t>
      </w:r>
      <w:proofErr w:type="gramEnd"/>
    </w:p>
    <w:p w:rsidR="001A4051" w:rsidRPr="00D75011" w:rsidRDefault="004613A5" w:rsidP="004613A5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bookmarkStart w:id="3" w:name="_Toc427400413"/>
      <w:r>
        <w:rPr>
          <w:rFonts w:ascii="Times New Roman" w:eastAsia="Times New Roman" w:hAnsi="Times New Roman" w:cs="Times New Roman"/>
          <w:lang w:eastAsia="ru-RU"/>
        </w:rPr>
        <w:lastRenderedPageBreak/>
        <w:tab/>
      </w:r>
      <w:r w:rsidR="001A4051">
        <w:rPr>
          <w:rFonts w:ascii="Times New Roman" w:eastAsia="Times New Roman" w:hAnsi="Times New Roman" w:cs="Times New Roman"/>
          <w:lang w:eastAsia="ru-RU"/>
        </w:rPr>
        <w:t>7.3</w:t>
      </w:r>
      <w:r w:rsidR="00237C31">
        <w:rPr>
          <w:rFonts w:ascii="Times New Roman" w:eastAsia="Times New Roman" w:hAnsi="Times New Roman" w:cs="Times New Roman"/>
          <w:lang w:eastAsia="ru-RU"/>
        </w:rPr>
        <w:t xml:space="preserve"> </w:t>
      </w:r>
      <w:r w:rsidR="001A4051" w:rsidRPr="00D75011">
        <w:rPr>
          <w:rFonts w:ascii="Times New Roman" w:eastAsia="Times New Roman" w:hAnsi="Times New Roman" w:cs="Times New Roman"/>
          <w:lang w:eastAsia="ru-RU"/>
        </w:rPr>
        <w:t>Выбор номинальной мощности трансформатора</w:t>
      </w:r>
      <w:bookmarkEnd w:id="3"/>
    </w:p>
    <w:p w:rsidR="00C05EF7" w:rsidRPr="00D75011" w:rsidRDefault="00C05EF7" w:rsidP="00C05EF7">
      <w:pPr>
        <w:shd w:val="clear" w:color="auto" w:fill="FFFFFF"/>
        <w:spacing w:after="0" w:line="240" w:lineRule="auto"/>
        <w:ind w:left="7" w:right="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номинальной мощности трансформатора производится с </w:t>
      </w:r>
      <w:r w:rsidR="001A405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учётом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перегрузочной способности:</w:t>
      </w:r>
    </w:p>
    <w:p w:rsidR="00C05EF7" w:rsidRPr="00D75011" w:rsidRDefault="00C05EF7" w:rsidP="00C05EF7">
      <w:pPr>
        <w:shd w:val="clear" w:color="auto" w:fill="FFFFFF"/>
        <w:spacing w:before="163" w:after="0" w:line="240" w:lineRule="auto"/>
        <w:ind w:left="10"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≥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расч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/К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П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2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где </w:t>
      </w:r>
      <w:r w:rsidRPr="00D75011">
        <w:rPr>
          <w:rFonts w:ascii="Times New Roman" w:eastAsia="Times New Roman" w:hAnsi="Times New Roman" w:cs="Times New Roman"/>
          <w:i/>
          <w:spacing w:val="-1"/>
          <w:sz w:val="28"/>
          <w:szCs w:val="28"/>
          <w:lang w:val="en-US" w:eastAsia="ru-RU"/>
        </w:rPr>
        <w:t>S</w:t>
      </w:r>
      <w:r w:rsidRPr="00D75011">
        <w:rPr>
          <w:rFonts w:ascii="Times New Roman" w:eastAsia="Times New Roman" w:hAnsi="Times New Roman" w:cs="Times New Roman"/>
          <w:i/>
          <w:spacing w:val="-1"/>
          <w:sz w:val="28"/>
          <w:szCs w:val="28"/>
          <w:vertAlign w:val="subscript"/>
          <w:lang w:val="en-US" w:eastAsia="ru-RU"/>
        </w:rPr>
        <w:t>H</w:t>
      </w:r>
      <w:r w:rsidRPr="00D7501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— номинальная мощность трансформатора; </w:t>
      </w:r>
      <w:r w:rsidRPr="00D75011">
        <w:rPr>
          <w:rFonts w:ascii="Times New Roman" w:eastAsia="Times New Roman" w:hAnsi="Times New Roman" w:cs="Times New Roman"/>
          <w:i/>
          <w:spacing w:val="-1"/>
          <w:sz w:val="28"/>
          <w:szCs w:val="28"/>
          <w:lang w:val="en-US" w:eastAsia="ru-RU"/>
        </w:rPr>
        <w:t>S</w:t>
      </w:r>
      <w:r w:rsidRPr="00D75011">
        <w:rPr>
          <w:rFonts w:ascii="Times New Roman" w:eastAsia="Times New Roman" w:hAnsi="Times New Roman" w:cs="Times New Roman"/>
          <w:i/>
          <w:spacing w:val="-1"/>
          <w:sz w:val="28"/>
          <w:szCs w:val="28"/>
          <w:vertAlign w:val="subscript"/>
          <w:lang w:eastAsia="ru-RU"/>
        </w:rPr>
        <w:t>расч</w:t>
      </w:r>
      <w:r w:rsidRPr="00D7501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— </w:t>
      </w:r>
      <w:proofErr w:type="gramStart"/>
      <w:r w:rsidRPr="00D7501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ра</w:t>
      </w:r>
      <w:proofErr w:type="gramEnd"/>
      <w:r w:rsidRPr="00D7501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четная мощность, т. е. такая максимальная длительная нагрузка, которую должен выдерживать трансформатор; </w:t>
      </w:r>
      <w:r w:rsidRPr="00D7501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Кп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допустимый коэффициент перегрузки для данного типа трансформатора в заданных условиях, определяемых по ГОСТ.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19" w:righ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определении </w:t>
      </w:r>
      <w:r w:rsidRPr="00D75011">
        <w:rPr>
          <w:rFonts w:ascii="Times New Roman" w:eastAsia="Times New Roman" w:hAnsi="Times New Roman" w:cs="Times New Roman"/>
          <w:i/>
          <w:spacing w:val="-1"/>
          <w:sz w:val="28"/>
          <w:szCs w:val="28"/>
          <w:lang w:val="en-US" w:eastAsia="ru-RU"/>
        </w:rPr>
        <w:t>S</w:t>
      </w:r>
      <w:r w:rsidRPr="00D75011">
        <w:rPr>
          <w:rFonts w:ascii="Times New Roman" w:eastAsia="Times New Roman" w:hAnsi="Times New Roman" w:cs="Times New Roman"/>
          <w:i/>
          <w:spacing w:val="-1"/>
          <w:sz w:val="28"/>
          <w:szCs w:val="28"/>
          <w:vertAlign w:val="subscript"/>
          <w:lang w:eastAsia="ru-RU"/>
        </w:rPr>
        <w:t>расч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во внимание нагрузка на пятый год, если считать с момента ввода сооружения станции, </w:t>
      </w:r>
      <w:r w:rsidR="001A405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причём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учитывается перспектива дальнейшего развития станции на 5—10 лет </w:t>
      </w:r>
      <w:r w:rsidR="001A405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вперёд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19"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блочной схеме соединения генератора с трансформатором, последний должен обеспечивать выдачу мощности генератора в сеть повышенного напряжения.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19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генератор без местной нагрузки включается в блок с повышающим автотрансформатором, то расчетная мощность последнего определяется максимальной нагрузкой третичной обмотки, к которой присоединен генератор:</w:t>
      </w:r>
    </w:p>
    <w:p w:rsidR="00C05EF7" w:rsidRPr="00D75011" w:rsidRDefault="00C05EF7" w:rsidP="00C05EF7">
      <w:pPr>
        <w:shd w:val="clear" w:color="auto" w:fill="FFFFFF"/>
        <w:spacing w:before="10" w:after="0" w:line="240" w:lineRule="auto"/>
        <w:ind w:left="296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21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pt;height:35pt" o:ole="">
            <v:imagedata r:id="rId12" o:title=""/>
          </v:shape>
          <o:OLEObject Type="Embed" ProgID="Equation.3" ShapeID="_x0000_i1025" DrawAspect="Content" ObjectID="_1501142829" r:id="rId13"/>
        </w:objec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EF7" w:rsidRPr="00D75011" w:rsidRDefault="00C05EF7" w:rsidP="00C05EF7">
      <w:pPr>
        <w:shd w:val="clear" w:color="auto" w:fill="FFFFFF"/>
        <w:spacing w:before="211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где</w:t>
      </w:r>
      <w:r w:rsidRPr="00D75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iCs/>
          <w:position w:val="-30"/>
          <w:sz w:val="28"/>
          <w:szCs w:val="28"/>
          <w:lang w:eastAsia="ru-RU"/>
        </w:rPr>
        <w:object w:dxaOrig="2340" w:dyaOrig="700">
          <v:shape id="_x0000_i1026" type="#_x0000_t75" style="width:117pt;height:35pt" o:ole="">
            <v:imagedata r:id="rId14" o:title=""/>
          </v:shape>
          <o:OLEObject Type="Embed" ProgID="Equation.3" ShapeID="_x0000_i1026" DrawAspect="Content" ObjectID="_1501142830" r:id="rId15"/>
        </w:object>
      </w:r>
      <w:r w:rsidRPr="00D75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- 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типовой мощности автотрансформатора </w:t>
      </w:r>
      <w:r w:rsidRPr="00D75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</w:t>
      </w:r>
      <w:r w:rsidRPr="00D75011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U</w:t>
      </w:r>
      <w:r w:rsidRPr="00D75011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en-US" w:eastAsia="ru-RU"/>
        </w:rPr>
        <w:t>B</w:t>
      </w:r>
      <w:r w:rsidRPr="00D7501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,</w:t>
      </w:r>
      <w:r w:rsidRPr="00D75011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U</w:t>
      </w:r>
      <w:r w:rsidRPr="00D75011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en-US" w:eastAsia="ru-RU"/>
        </w:rPr>
        <w:t>C</w:t>
      </w:r>
      <w:r w:rsidRPr="00D75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номинальные высшее и среднее напряжения; </w:t>
      </w:r>
      <w:proofErr w:type="gramStart"/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proofErr w:type="gramEnd"/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тип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типовая    мощность    автотрансформатора).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29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выбора номинальной мощности автотрансформатора проверяется возможность передачи через него максимальной мощности из РУ среднего в РУ высшего напряжения. Если такой режим нагрузки оказывается недопустимым, то изменяют или число блоков, </w:t>
      </w:r>
      <w:proofErr w:type="spellStart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присоединенных</w:t>
      </w:r>
      <w:proofErr w:type="spellEnd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РУ среднего напряжения, или число автотрансформаторов.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24" w:right="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суточный график нагрузки генератора, </w:t>
      </w:r>
      <w:proofErr w:type="gramStart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следовательно, и блочного трансформатора имеет заметно выраженное понижение мощности в ночное время, то при выборе номинальной мощности трансформатора можно учесть его способность к систематическим перегрузкам в дневное время без сокращения срока службы, т. е.</w:t>
      </w:r>
    </w:p>
    <w:p w:rsidR="00C05EF7" w:rsidRPr="00D75011" w:rsidRDefault="00C05EF7" w:rsidP="00C05EF7">
      <w:pPr>
        <w:shd w:val="clear" w:color="auto" w:fill="FFFFFF"/>
        <w:spacing w:before="252" w:after="0" w:line="240" w:lineRule="auto"/>
        <w:ind w:right="19" w:firstLine="720"/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≥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расч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/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п.сист</w:t>
      </w:r>
    </w:p>
    <w:p w:rsidR="00C05EF7" w:rsidRPr="00D75011" w:rsidRDefault="00C05EF7" w:rsidP="00C05EF7">
      <w:pPr>
        <w:shd w:val="clear" w:color="auto" w:fill="FFFFFF"/>
        <w:spacing w:before="199" w:after="0" w:line="240" w:lineRule="auto"/>
        <w:ind w:left="19" w:righ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где </w:t>
      </w:r>
      <w:r w:rsidRPr="00D75011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К</w:t>
      </w:r>
      <w:r w:rsidRPr="00D75011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vertAlign w:val="subscript"/>
          <w:lang w:eastAsia="ru-RU"/>
        </w:rPr>
        <w:t>п.сист</w:t>
      </w:r>
      <w:r w:rsidRPr="00D75011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— допустимый коэффициент систематических пере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грузок, который определяется по графикам нагрузочной способности трансформаторов (мощностью до 250 </w:t>
      </w:r>
      <w:r w:rsidRPr="00D750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MB</w:t>
      </w:r>
      <w:proofErr w:type="gramStart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• А</w:t>
      </w:r>
      <w:proofErr w:type="gramEnd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включительно) согласно ГОСТ.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22"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ГЭС расчетные нагрузки обычно имеют место в период паводка. Поскольку в это время ГЭС переходят в базовый режим и графики нагрузок блоков становятся ровными, то при выборе номинальной мощности блочных трансформаторов перегрузочная способность не учитывается.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10"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Расчетная мощность автотрансформаторов связи, включенных между РУ высшего и среднего напряжения, определяется на основе анализа перетоков мощности между этими РУ в нормальном и аварийном режимах. В частности, необходимо рассматривать отключение одного из блоков, </w:t>
      </w:r>
      <w:r w:rsidR="00237C3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присоединённых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РУ среднего напряжения. При выборе числа автотрансформаторов связи учитывается, во-первых, требуемая надежность электроснабжения потребителей сети среднего напряжения, а, во-вторых, — допустимость изолированной работы блоков на РУ среднего напряжения. Если нарушение связи между РУ высшего и среднего напряжений </w:t>
      </w:r>
      <w:proofErr w:type="spellStart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влечет</w:t>
      </w:r>
      <w:proofErr w:type="spellEnd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собой недоотпуск электроэнергии потребителям или окажется, что минимальная нагрузка сети среднего напряжения ниже технологического минимума мощности отделившихся блоков, то предусматриваются два автотрансформатора связи.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трансформаторов, связывающих РУ генераторного и повышенного напряжений ТЭЦ, составляются и анализируются предполагаемые графики нагрузки трансформаторов связи; в нормальном режиме (зимой и летом); при отключении одного из работающих генераторов; при необходимости мобилизации вращающегося резерва, когда мощность генераторов ТЭЦ увеличивается </w:t>
      </w:r>
      <w:proofErr w:type="gramStart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номинальной.</w:t>
      </w:r>
    </w:p>
    <w:p w:rsidR="00C05EF7" w:rsidRPr="00D75011" w:rsidRDefault="00C05EF7" w:rsidP="00C05EF7">
      <w:pPr>
        <w:shd w:val="clear" w:color="auto" w:fill="FFFFFF"/>
        <w:spacing w:before="2" w:after="0" w:line="240" w:lineRule="auto"/>
        <w:ind w:left="12" w:right="2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Мощность, передаваемая через трансформаторы связи, в общем случае (при разных коэффициентах мощности генераторов, местной нагрузки и собственных нужд) </w:t>
      </w:r>
    </w:p>
    <w:p w:rsidR="00C05EF7" w:rsidRPr="00D75011" w:rsidRDefault="00C05EF7" w:rsidP="00C05EF7">
      <w:pPr>
        <w:shd w:val="clear" w:color="auto" w:fill="FFFFFF"/>
        <w:spacing w:before="2" w:after="0" w:line="240" w:lineRule="auto"/>
        <w:ind w:left="12" w:right="2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5100" w:dyaOrig="460">
          <v:shape id="_x0000_i1027" type="#_x0000_t75" style="width:255pt;height:23pt" o:ole="">
            <v:imagedata r:id="rId16" o:title=""/>
          </v:shape>
          <o:OLEObject Type="Embed" ProgID="Equation.3" ShapeID="_x0000_i1027" DrawAspect="Content" ObjectID="_1501142831" r:id="rId17"/>
        </w:objec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2" w:right="3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Σ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Г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Σ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Г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—суммарная активная и реактивная мощности генераторов, </w:t>
      </w:r>
      <w:r w:rsidR="001A405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присоединённых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РУ генераторного напряжения.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2" w:right="19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требованиями </w:t>
      </w:r>
      <w:r w:rsidR="001A405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надёжности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тепло- и электроснабжения местного потребителя, на ТЭЦ, как правило, предусматривают два трансформатора связи с системой. При выборе номинальной мощности трансформаторов связи </w:t>
      </w:r>
      <w:r w:rsidR="001A405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нагрузочной способности зависит от режима, определившего </w:t>
      </w:r>
      <w:r w:rsidR="001A405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расчётную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(наибольшую) мощность. Если вероятность </w:t>
      </w:r>
      <w:r w:rsidR="001A405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расчётного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режима достаточно велика (плановое или аварийное отключение одного генератора на станции, аварийная ситуация в системе), то при выборе номинальной мощности можно допускать лишь перегрузку без сокращения срока службы, т. е. использовать </w:t>
      </w:r>
      <w:r w:rsidRPr="00D7501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коэффициент </w:t>
      </w:r>
      <w:r w:rsidRPr="00D75011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К</w:t>
      </w:r>
      <w:r w:rsidRPr="00D75011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vertAlign w:val="subscript"/>
          <w:lang w:eastAsia="ru-RU"/>
        </w:rPr>
        <w:t>п.сист</w:t>
      </w:r>
      <w:r w:rsidRPr="00D7501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 тех случаях, когда </w:t>
      </w:r>
      <w:r w:rsidR="001A4051" w:rsidRPr="00D7501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расчётный</w:t>
      </w:r>
      <w:r w:rsidRPr="00D7501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режим ма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ловероятен (отказ одного из трансформаторов связи), при вы</w:t>
      </w:r>
      <w:r w:rsidRPr="00D7501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боре </w:t>
      </w:r>
      <w:r w:rsidRPr="00D75011">
        <w:rPr>
          <w:rFonts w:ascii="Times New Roman" w:eastAsia="Times New Roman" w:hAnsi="Times New Roman" w:cs="Times New Roman"/>
          <w:i/>
          <w:spacing w:val="-1"/>
          <w:sz w:val="28"/>
          <w:szCs w:val="28"/>
          <w:lang w:val="en-US" w:eastAsia="ru-RU"/>
        </w:rPr>
        <w:t>S</w:t>
      </w:r>
      <w:r w:rsidRPr="00D75011">
        <w:rPr>
          <w:rFonts w:ascii="Times New Roman" w:eastAsia="Times New Roman" w:hAnsi="Times New Roman" w:cs="Times New Roman"/>
          <w:i/>
          <w:spacing w:val="-1"/>
          <w:sz w:val="28"/>
          <w:szCs w:val="28"/>
          <w:vertAlign w:val="subscript"/>
          <w:lang w:eastAsia="ru-RU"/>
        </w:rPr>
        <w:t>ном</w:t>
      </w:r>
      <w:r w:rsidRPr="00D7501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используется коэффициент допустимой аварийной пе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регрузки </w:t>
      </w:r>
      <w:r w:rsidRPr="00D75011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K</w:t>
      </w:r>
      <w:r w:rsidRPr="00D75011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eastAsia="ru-RU"/>
        </w:rPr>
        <w:t>п.ав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14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трансформаторов на </w:t>
      </w:r>
      <w:proofErr w:type="gramStart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подстанциях</w:t>
      </w:r>
      <w:proofErr w:type="gramEnd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выбирается в зависимости от мощности и ответственности потребителей, а также наличия резервных источников питания в сетях среднего и низшего напряжений.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19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Установка одного трансформатора возможна в следующих случаях: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22" w:righ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подстанции питаются неответственные </w:t>
      </w:r>
      <w:r w:rsidR="001A405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приёмники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A405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причём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случай отказа трансформатора предусмотрен централизованный трансформаторный резерв с возможностью замены </w:t>
      </w:r>
      <w:r w:rsidR="001A405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повреждённого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трансформатора в течение суток, не более;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26"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резервирования питания потребителей первой и второй категорий в сетях среднего и низшего напряжений имеются вторые источники питания, </w:t>
      </w:r>
      <w:r w:rsidR="001A405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причём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потребителей первой категории обеспечен автоматический ввод резерва.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2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 большей частью от подстанций питаются потребители всех трех категорий и питание от системы подводится лишь со стороны высшего напряжения, то по условию надежности требуется установка двух трансформаторов. На очень мощных узловых подстанциях может оказаться экономически целесообразной установка трех-</w:t>
      </w:r>
      <w:r w:rsidR="001A405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четырёх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трансформаторов (ав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тотрансформаторов) 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38" w:right="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однотрансформаторных подстанциях номинальная мощность трансформатора выбирается с </w:t>
      </w:r>
      <w:r w:rsidR="001A405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учётом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возможности систематических перегрузок: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38" w:right="2"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расч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max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cosφ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≤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п.сист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38" w:right="2"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D7501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</w:t>
      </w:r>
      <w:r w:rsidRPr="00D75011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en-US" w:eastAsia="ru-RU"/>
        </w:rPr>
        <w:t>max</w:t>
      </w:r>
      <w:r w:rsidRPr="00D75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— максимальная нагрузка наиболее загруженной обмотки трансформатора, ожидаемая на 5-й год с момента ввода первого трансформатора.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5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При установке на подстанции </w:t>
      </w:r>
      <w:r w:rsidRPr="00D75011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lang w:val="en-US" w:eastAsia="ru-RU"/>
        </w:rPr>
        <w:t>N</w:t>
      </w:r>
      <w:r w:rsidRPr="00D75011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vertAlign w:val="subscript"/>
          <w:lang w:val="en-US" w:eastAsia="ru-RU"/>
        </w:rPr>
        <w:t>T</w:t>
      </w:r>
      <w:r w:rsidRPr="00D75011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трансформаторов (</w:t>
      </w:r>
      <w:r w:rsidRPr="00D75011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lang w:val="en-US" w:eastAsia="ru-RU"/>
        </w:rPr>
        <w:t>N</w:t>
      </w:r>
      <w:r w:rsidRPr="00D75011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vertAlign w:val="subscript"/>
          <w:lang w:val="en-US" w:eastAsia="ru-RU"/>
        </w:rPr>
        <w:t>T</w:t>
      </w:r>
      <w:r w:rsidRPr="00D7501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&gt;1) </w:t>
      </w:r>
      <w:r w:rsidR="001A405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расчётным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режимом является отказ одного из трансформаторов, когда оставшиеся в работе с </w:t>
      </w:r>
      <w:r w:rsidR="001A4051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учётом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аварийной перегрузки должны передать всю необходимую мощность:</w:t>
      </w:r>
    </w:p>
    <w:p w:rsidR="00C05EF7" w:rsidRPr="00D75011" w:rsidRDefault="00C05EF7" w:rsidP="00C05E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75011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3200" w:dyaOrig="700">
          <v:shape id="_x0000_i1028" type="#_x0000_t75" style="width:160pt;height:35pt" o:ole="">
            <v:imagedata r:id="rId18" o:title=""/>
          </v:shape>
          <o:OLEObject Type="Embed" ProgID="Equation.3" ShapeID="_x0000_i1028" DrawAspect="Content" ObjectID="_1501142832" r:id="rId19"/>
        </w:objec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EF7" w:rsidRPr="00D75011" w:rsidRDefault="00C05EF7" w:rsidP="00C05EF7">
      <w:pPr>
        <w:shd w:val="clear" w:color="auto" w:fill="FFFFFF"/>
        <w:spacing w:before="175" w:after="0" w:line="240" w:lineRule="auto"/>
        <w:ind w:left="43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проектировании принимается 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п.ав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=1,4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(ГОСТ). Такая перегрузка допустима в течение не более 5 суток при условии, что коэффициент начальной нагрузки не более 0,93, а длительность максимума нагрузки не более 6 ч в сутки.</w:t>
      </w:r>
    </w:p>
    <w:p w:rsidR="001A4051" w:rsidRPr="001A4051" w:rsidRDefault="004613A5" w:rsidP="004613A5">
      <w:pPr>
        <w:pStyle w:val="1"/>
        <w:spacing w:before="120" w:after="120" w:line="240" w:lineRule="auto"/>
        <w:rPr>
          <w:rFonts w:ascii="Times New Roman" w:eastAsia="Times New Roman" w:hAnsi="Times New Roman" w:cs="Arial"/>
          <w:bCs w:val="0"/>
          <w:spacing w:val="-3"/>
          <w:lang w:eastAsia="ru-RU"/>
        </w:rPr>
      </w:pPr>
      <w:bookmarkStart w:id="4" w:name="_Toc427400414"/>
      <w:r>
        <w:rPr>
          <w:rFonts w:ascii="Times New Roman" w:eastAsia="Times New Roman" w:hAnsi="Times New Roman" w:cs="Times New Roman"/>
          <w:bCs w:val="0"/>
          <w:spacing w:val="-3"/>
          <w:lang w:eastAsia="ru-RU"/>
        </w:rPr>
        <w:tab/>
      </w:r>
      <w:r w:rsidR="00237C31">
        <w:rPr>
          <w:rFonts w:ascii="Times New Roman" w:eastAsia="Times New Roman" w:hAnsi="Times New Roman" w:cs="Times New Roman"/>
          <w:bCs w:val="0"/>
          <w:spacing w:val="-3"/>
          <w:lang w:eastAsia="ru-RU"/>
        </w:rPr>
        <w:t>7.4</w:t>
      </w:r>
      <w:r w:rsidR="001A4051">
        <w:rPr>
          <w:rFonts w:ascii="Times New Roman" w:eastAsia="Times New Roman" w:hAnsi="Times New Roman" w:cs="Times New Roman"/>
          <w:bCs w:val="0"/>
          <w:spacing w:val="-3"/>
          <w:lang w:eastAsia="ru-RU"/>
        </w:rPr>
        <w:t xml:space="preserve"> </w:t>
      </w:r>
      <w:r w:rsidR="00C05EF7" w:rsidRPr="001A4051">
        <w:rPr>
          <w:rFonts w:ascii="Times New Roman" w:eastAsia="Times New Roman" w:hAnsi="Times New Roman" w:cs="Times New Roman"/>
          <w:spacing w:val="-3"/>
          <w:lang w:eastAsia="ru-RU"/>
        </w:rPr>
        <w:t>Выбор</w:t>
      </w:r>
      <w:r w:rsidR="00C05EF7" w:rsidRPr="001A4051">
        <w:rPr>
          <w:rFonts w:ascii="Times New Roman" w:eastAsia="Times New Roman" w:hAnsi="Times New Roman" w:cs="Arial"/>
          <w:spacing w:val="-3"/>
          <w:lang w:eastAsia="ru-RU"/>
        </w:rPr>
        <w:t xml:space="preserve"> </w:t>
      </w:r>
      <w:r w:rsidR="00C05EF7" w:rsidRPr="001A4051">
        <w:rPr>
          <w:rFonts w:ascii="Times New Roman" w:eastAsia="Times New Roman" w:hAnsi="Times New Roman" w:cs="Times New Roman"/>
          <w:spacing w:val="-3"/>
          <w:lang w:eastAsia="ru-RU"/>
        </w:rPr>
        <w:t>генераторов</w:t>
      </w:r>
      <w:bookmarkEnd w:id="4"/>
      <w:r w:rsidR="00C05EF7" w:rsidRPr="001A4051">
        <w:rPr>
          <w:rFonts w:ascii="Times New Roman" w:eastAsia="Times New Roman" w:hAnsi="Times New Roman" w:cs="Arial"/>
          <w:spacing w:val="-3"/>
          <w:lang w:eastAsia="ru-RU"/>
        </w:rPr>
        <w:t xml:space="preserve"> </w:t>
      </w:r>
    </w:p>
    <w:p w:rsidR="00C05EF7" w:rsidRPr="00D75011" w:rsidRDefault="00C05EF7" w:rsidP="00C05EF7">
      <w:pPr>
        <w:shd w:val="clear" w:color="auto" w:fill="FFFFFF"/>
        <w:spacing w:before="245" w:after="0" w:line="240" w:lineRule="auto"/>
        <w:ind w:left="3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Турбогенераторы для ТЭС и АЭС выпускаются номинальной мощностью 2,5; 4,0; 6,0; 12; 30; 50; 60(63); 100; 150(160); 200; 220; 300; 500; 800; 1200 МВт. Выбор номинальной мощности агрегатов станций осуществляется еще на стадии ТЭД, число и мощность генераторов входят в задание на проектирование. В ходе рабочего проектирования могут лишь уточняться номинальное напряжение и исполнение машины (система охлаждения, системы возбуждения и завод-изготовитель).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14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Гидрогенераторы выпускаются на номинальные мощности от 8 до 750 МВт в вертикальном и горизонтальном исполнении. Для средних и крупных ГЭС гидрогенераторы выполняются заводом-изготовителем по 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индивидуальному заказу. На ГАЭС наряду с гидрогенераторами применяются синхронные двигатели и обратимые машины как серийного, так и индивидуального изготовления, мощностью от единиц до сотен мегаватт. По сравнению с турбогенераторами гидрогенераторы являются тихоходными машинами. Частота вращения их </w:t>
      </w:r>
      <w:proofErr w:type="gramStart"/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proofErr w:type="gramEnd"/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выбирается от 50 до 500 об/мин в зависимости от частоты вращения гидротурбин. Номинальная мощность генератора 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(в киловаттах) по мощности турбины </w:t>
      </w:r>
      <w:r w:rsidRPr="00D75011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N</w:t>
      </w:r>
      <w:r w:rsidRPr="00D75011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eastAsia="ru-RU"/>
        </w:rPr>
        <w:t>турб</w:t>
      </w:r>
      <w:r w:rsidRPr="00D75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C05EF7" w:rsidRPr="00D75011" w:rsidRDefault="00C05EF7" w:rsidP="00C05EF7">
      <w:pPr>
        <w:shd w:val="clear" w:color="auto" w:fill="FFFFFF"/>
        <w:spacing w:before="204" w:after="0" w:line="240" w:lineRule="auto"/>
        <w:ind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P</w:t>
      </w:r>
      <w:r w:rsidRPr="00D75011">
        <w:rPr>
          <w:rFonts w:ascii="Times New Roman" w:eastAsia="Times New Roman" w:hAnsi="Times New Roman" w:cs="Times New Roman"/>
          <w:bCs/>
          <w:i/>
          <w:sz w:val="28"/>
          <w:szCs w:val="28"/>
          <w:vertAlign w:val="subscript"/>
          <w:lang w:eastAsia="ru-RU"/>
        </w:rPr>
        <w:t>ном</w:t>
      </w:r>
      <w:r w:rsidRPr="00D7501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=</w:t>
      </w:r>
      <w:r w:rsidRPr="00D75011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N</w:t>
      </w:r>
      <w:r w:rsidRPr="00D75011">
        <w:rPr>
          <w:rFonts w:ascii="Times New Roman" w:eastAsia="Times New Roman" w:hAnsi="Times New Roman" w:cs="Times New Roman"/>
          <w:bCs/>
          <w:i/>
          <w:sz w:val="28"/>
          <w:szCs w:val="28"/>
          <w:vertAlign w:val="subscript"/>
          <w:lang w:eastAsia="ru-RU"/>
        </w:rPr>
        <w:t>турб</w:t>
      </w:r>
      <w:r w:rsidRPr="00D7501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η</w:t>
      </w:r>
      <w:r w:rsidRPr="00D75011">
        <w:rPr>
          <w:rFonts w:ascii="Times New Roman" w:eastAsia="Times New Roman" w:hAnsi="Times New Roman" w:cs="Times New Roman"/>
          <w:bCs/>
          <w:i/>
          <w:sz w:val="28"/>
          <w:szCs w:val="28"/>
          <w:vertAlign w:val="subscript"/>
          <w:lang w:eastAsia="ru-RU"/>
        </w:rPr>
        <w:t>Г</w:t>
      </w:r>
      <w:r w:rsidRPr="00D750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C05EF7" w:rsidRPr="00D75011" w:rsidRDefault="00C05EF7" w:rsidP="00C05EF7">
      <w:pPr>
        <w:shd w:val="clear" w:color="auto" w:fill="FFFFFF"/>
        <w:spacing w:before="142" w:after="0" w:line="240" w:lineRule="auto"/>
        <w:ind w:lef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D75011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η</w:t>
      </w:r>
      <w:r w:rsidRPr="00D75011">
        <w:rPr>
          <w:rFonts w:ascii="Times New Roman" w:eastAsia="Times New Roman" w:hAnsi="Times New Roman" w:cs="Times New Roman"/>
          <w:bCs/>
          <w:i/>
          <w:sz w:val="28"/>
          <w:szCs w:val="28"/>
          <w:vertAlign w:val="subscript"/>
          <w:lang w:eastAsia="ru-RU"/>
        </w:rPr>
        <w:t>Г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КПД генератора.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33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Полная номинальная мощность (в киловольт-амперах)</w:t>
      </w:r>
    </w:p>
    <w:p w:rsidR="00C05EF7" w:rsidRPr="00D75011" w:rsidRDefault="00C05EF7" w:rsidP="00C05EF7">
      <w:pPr>
        <w:shd w:val="clear" w:color="auto" w:fill="FFFFFF"/>
        <w:spacing w:before="122" w:after="0" w:line="240" w:lineRule="auto"/>
        <w:ind w:right="48"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cosφ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proofErr w:type="gramStart"/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,,</w:t>
      </w:r>
      <w:proofErr w:type="gramEnd"/>
    </w:p>
    <w:p w:rsidR="00C05EF7" w:rsidRPr="00D75011" w:rsidRDefault="00C05EF7" w:rsidP="00C05EF7">
      <w:pPr>
        <w:shd w:val="clear" w:color="auto" w:fill="FFFFFF"/>
        <w:spacing w:before="161" w:after="0" w:line="240" w:lineRule="auto"/>
        <w:ind w:left="7" w:right="43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cos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φ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proofErr w:type="spellEnd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gramStart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proofErr w:type="gramEnd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минальный коэффициент мощности, задаваемый на стадии ТЭД.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7" w:right="43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По значениям величин 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D75011">
        <w:rPr>
          <w:rFonts w:ascii="Times New Roman" w:eastAsia="Times New Roman" w:hAnsi="Times New Roman" w:cs="Times New Roman"/>
          <w:smallCaps/>
          <w:spacing w:val="-6"/>
          <w:sz w:val="28"/>
          <w:szCs w:val="28"/>
          <w:lang w:eastAsia="ru-RU"/>
        </w:rPr>
        <w:t xml:space="preserve">, </w:t>
      </w:r>
      <w:proofErr w:type="gramStart"/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proofErr w:type="gramEnd"/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D75011">
        <w:rPr>
          <w:rFonts w:ascii="Times New Roman" w:eastAsia="Times New Roman" w:hAnsi="Times New Roman" w:cs="Times New Roman"/>
          <w:smallCaps/>
          <w:spacing w:val="-6"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75011">
        <w:rPr>
          <w:rFonts w:ascii="Times New Roman" w:eastAsia="Times New Roman" w:hAnsi="Times New Roman" w:cs="Times New Roman"/>
          <w:smallCaps/>
          <w:spacing w:val="-6"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выбирается прототип 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числа выпускавшихся ранее гидрогенераторов (по каталогам заводов-изготовителей и справочникам).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right="4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Если значения 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D75011">
        <w:rPr>
          <w:rFonts w:ascii="Times New Roman" w:eastAsia="Times New Roman" w:hAnsi="Times New Roman" w:cs="Times New Roman"/>
          <w:smallCaps/>
          <w:spacing w:val="-6"/>
          <w:sz w:val="28"/>
          <w:szCs w:val="28"/>
          <w:lang w:eastAsia="ru-RU"/>
        </w:rPr>
        <w:t xml:space="preserve">, </w:t>
      </w:r>
      <w:proofErr w:type="gramStart"/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proofErr w:type="gramEnd"/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D75011">
        <w:rPr>
          <w:rFonts w:ascii="Times New Roman" w:eastAsia="Times New Roman" w:hAnsi="Times New Roman" w:cs="Times New Roman"/>
          <w:smallCaps/>
          <w:spacing w:val="-6"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75011">
        <w:rPr>
          <w:rFonts w:ascii="Times New Roman" w:eastAsia="Times New Roman" w:hAnsi="Times New Roman" w:cs="Times New Roman"/>
          <w:smallCaps/>
          <w:spacing w:val="-6"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D7501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совпадают со значениями 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’</w:t>
      </w:r>
      <w:r w:rsidRPr="00D75011">
        <w:rPr>
          <w:rFonts w:ascii="Times New Roman" w:eastAsia="Times New Roman" w:hAnsi="Times New Roman" w:cs="Times New Roman"/>
          <w:smallCaps/>
          <w:spacing w:val="-6"/>
          <w:sz w:val="28"/>
          <w:szCs w:val="28"/>
          <w:lang w:eastAsia="ru-RU"/>
        </w:rPr>
        <w:t xml:space="preserve">, 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’</w:t>
      </w:r>
      <w:r w:rsidRPr="00D75011">
        <w:rPr>
          <w:rFonts w:ascii="Times New Roman" w:eastAsia="Times New Roman" w:hAnsi="Times New Roman" w:cs="Times New Roman"/>
          <w:smallCaps/>
          <w:spacing w:val="-6"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75011">
        <w:rPr>
          <w:rFonts w:ascii="Times New Roman" w:eastAsia="Times New Roman" w:hAnsi="Times New Roman" w:cs="Times New Roman"/>
          <w:smallCaps/>
          <w:spacing w:val="-6"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’</w:t>
      </w:r>
      <w:r w:rsidRPr="00D7501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для прототипа, то этот тип генератора и выби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рается для установки на ГЭС.</w:t>
      </w:r>
    </w:p>
    <w:p w:rsidR="00C05EF7" w:rsidRPr="00D75011" w:rsidRDefault="00845578" w:rsidP="00C05EF7">
      <w:pPr>
        <w:shd w:val="clear" w:color="auto" w:fill="FFFFFF"/>
        <w:spacing w:after="0" w:line="240" w:lineRule="auto"/>
        <w:ind w:right="19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удаё</w:t>
      </w:r>
      <w:r w:rsidR="00C05EF7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подобрать прототип, у которого частота вращения равна заданной, а мощность отличается от заданной не более чем на 10—15 %, то заказывается генератор с диаметром расточка статора, равным диаметру у прототипа, и высотой активной стали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right="19"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proofErr w:type="gramStart"/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t</w:t>
      </w:r>
      <w:proofErr w:type="spellEnd"/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</w:t>
      </w:r>
      <w:proofErr w:type="gramEnd"/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’</w:t>
      </w:r>
      <w:proofErr w:type="spellStart"/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s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proofErr w:type="spellEnd"/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’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C05EF7" w:rsidRPr="00D75011" w:rsidRDefault="00C05EF7" w:rsidP="00C05EF7">
      <w:pPr>
        <w:shd w:val="clear" w:color="auto" w:fill="FFFFFF"/>
        <w:spacing w:before="120" w:after="0" w:line="240" w:lineRule="auto"/>
        <w:ind w:lef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’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t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высота активной стали у генератора-прототипа.</w:t>
      </w:r>
    </w:p>
    <w:p w:rsidR="00C05EF7" w:rsidRPr="00D75011" w:rsidRDefault="00237C31" w:rsidP="00C05EF7">
      <w:pPr>
        <w:shd w:val="clear" w:color="auto" w:fill="FFFFFF"/>
        <w:spacing w:after="192" w:line="240" w:lineRule="auto"/>
        <w:ind w:left="5" w:right="2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удаё</w:t>
      </w:r>
      <w:r w:rsidR="00C05EF7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подобрать прототип, у которого не равны, но близки значения (отличаются не более чем на 10%), </w:t>
      </w:r>
      <w:proofErr w:type="gramStart"/>
      <w:r w:rsidR="00C05EF7"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proofErr w:type="gramEnd"/>
      <w:r w:rsidR="00C05EF7"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="00C05EF7"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05EF7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05EF7"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05EF7"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="00C05EF7" w:rsidRPr="00D7501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’</w:t>
      </w:r>
      <w:r w:rsidR="00C05EF7"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05EF7"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="00C05EF7" w:rsidRPr="00D75011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, </w:t>
      </w:r>
      <w:r w:rsidR="00C05EF7"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="00C05EF7"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="00C05EF7" w:rsidRPr="00D75011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</w:t>
      </w:r>
      <w:r w:rsidR="00C05EF7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C05EF7"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="00C05EF7" w:rsidRPr="00D7501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’</w:t>
      </w:r>
      <w:r w:rsidR="00C05EF7"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="00C05EF7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</w:t>
      </w:r>
      <w:r w:rsidR="00C05EF7"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05EF7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высота активной стали принимается равной</w:t>
      </w:r>
    </w:p>
    <w:p w:rsidR="00C05EF7" w:rsidRPr="00D75011" w:rsidRDefault="00C05EF7" w:rsidP="00C05EF7">
      <w:pPr>
        <w:shd w:val="clear" w:color="auto" w:fill="FFFFFF"/>
        <w:spacing w:after="192" w:line="240" w:lineRule="auto"/>
        <w:ind w:left="5" w:right="2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75011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1600" w:dyaOrig="720">
          <v:shape id="_x0000_i1029" type="#_x0000_t75" style="width:80pt;height:36pt" o:ole="">
            <v:imagedata r:id="rId20" o:title=""/>
          </v:shape>
          <o:OLEObject Type="Embed" ProgID="Equation.3" ShapeID="_x0000_i1029" DrawAspect="Content" ObjectID="_1501142833" r:id="rId21"/>
        </w:objec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EF7" w:rsidRPr="00D75011" w:rsidRDefault="00C05EF7" w:rsidP="00C05EF7">
      <w:pPr>
        <w:shd w:val="clear" w:color="auto" w:fill="FFFFFF"/>
        <w:spacing w:before="144" w:after="0" w:line="240" w:lineRule="auto"/>
        <w:ind w:lef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прототипа, близкого по заданным парамет</w:t>
      </w:r>
      <w:r w:rsidRPr="00D7501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рам 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D75011">
        <w:rPr>
          <w:rFonts w:ascii="Times New Roman" w:eastAsia="Times New Roman" w:hAnsi="Times New Roman" w:cs="Times New Roman"/>
          <w:smallCaps/>
          <w:spacing w:val="-6"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75011">
        <w:rPr>
          <w:rFonts w:ascii="Times New Roman" w:eastAsia="Times New Roman" w:hAnsi="Times New Roman" w:cs="Times New Roman"/>
          <w:smallCaps/>
          <w:spacing w:val="-6"/>
          <w:sz w:val="28"/>
          <w:szCs w:val="28"/>
          <w:lang w:eastAsia="ru-RU"/>
        </w:rPr>
        <w:t xml:space="preserve"> 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D75011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 xml:space="preserve">, </w:t>
      </w:r>
      <w:r w:rsidRPr="00D7501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необходимы специальный </w:t>
      </w:r>
      <w:r w:rsidR="001A4051" w:rsidRPr="00D7501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расчёт</w:t>
      </w:r>
      <w:r w:rsidRPr="00D7501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главных раз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меров синхронной машины  и составление задания на ее проектирование в КБ завода-изготовителя.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19" w:righ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Номинальные напряжения синхронных генераторов принимаются</w:t>
      </w:r>
      <w:proofErr w:type="gramStart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равными: при мощности до 50 МВт — 6,3; 10,5 кВ; 100—150 МВт—10,5; 15,75; 18 кВ; 200 МВт—15,75; 20 кВ; 200—500 МВт —20; 21; 24 кВ; 800—1000 МВт —24; 27 кВ; 1200 МВт —24 кВ.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19" w:righ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Режимы нейтралей в схемах электростанций. 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известно, режим нейтралей в схемах энергоустановок определяется классом напряжения и уровнем тока замыкания фазы на землю. 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19" w:righ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блочных трансформаторах</w:t>
      </w:r>
      <w:proofErr w:type="gramStart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соединенных с РУ 330 кВ и более, нейтрали заземляются обычно без промежуточных элементов, т.е. глухо. 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19" w:righ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блочных трансформаторах, соединенных с РУ 110 – 220 кВ нейтрали часто заземлены, но иногда для уменьшения больших токов однофазного замыкании у части блочных трансформаторов они могут разземляться с соблюдением условия 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з</w:t>
      </w:r>
      <w:r w:rsidRPr="00D75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≤1,4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19" w:righ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автотрансформаторов (на </w:t>
      </w:r>
      <w:proofErr w:type="gramStart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станциях</w:t>
      </w:r>
      <w:proofErr w:type="gramEnd"/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обычно автотрансформаторы связи) нейтрали всегда заземлены по условию эксплуатации автотрансформаторов.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19" w:righ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на электростанции имеется РУ 35 кВ, то применяются двухобмоточные или трехобмоточные (в зависимости от числа РУ) трансформаторы связи. На стороне 35 кВ они работают с режимом изолированной или компенсированной нейтрали (в зависимости от уровня тока замыкания на землю), а на стороне 110 – 220 кВ – с режимом заземлённой нейтрали.</w:t>
      </w:r>
    </w:p>
    <w:p w:rsidR="00C05EF7" w:rsidRPr="00D75011" w:rsidRDefault="00C05EF7" w:rsidP="00C05EF7">
      <w:pPr>
        <w:shd w:val="clear" w:color="auto" w:fill="FFFFFF"/>
        <w:spacing w:after="0" w:line="240" w:lineRule="auto"/>
        <w:ind w:left="19" w:righ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генераторы электростанций работают с изолированным режимом нейтрали.</w:t>
      </w:r>
    </w:p>
    <w:p w:rsidR="00C05EF7" w:rsidRDefault="00C05EF7" w:rsidP="00C05EF7"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системе питания собственных нужд тепловых станций 6 кВ используется изолированный режим нейтрали. В системе питания собственных нужд 0,4 кВ используется </w:t>
      </w:r>
      <w:r w:rsidR="00845578"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четырёхпроводная</w:t>
      </w:r>
      <w:r w:rsidRPr="00D7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сеть с глухим заземлением нейтрали.</w:t>
      </w:r>
    </w:p>
    <w:p w:rsidR="000C0225" w:rsidRDefault="000C0225"/>
    <w:sectPr w:rsidR="000C0225" w:rsidSect="004613A5">
      <w:footerReference w:type="defaul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E3B" w:rsidRDefault="00740E3B" w:rsidP="004613A5">
      <w:pPr>
        <w:spacing w:after="0" w:line="240" w:lineRule="auto"/>
      </w:pPr>
      <w:r>
        <w:separator/>
      </w:r>
    </w:p>
  </w:endnote>
  <w:endnote w:type="continuationSeparator" w:id="0">
    <w:p w:rsidR="00740E3B" w:rsidRDefault="00740E3B" w:rsidP="00461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5612754"/>
      <w:docPartObj>
        <w:docPartGallery w:val="Page Numbers (Bottom of Page)"/>
        <w:docPartUnique/>
      </w:docPartObj>
    </w:sdtPr>
    <w:sdtContent>
      <w:p w:rsidR="004613A5" w:rsidRDefault="004613A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62A">
          <w:rPr>
            <w:noProof/>
          </w:rPr>
          <w:t>2</w:t>
        </w:r>
        <w:r>
          <w:fldChar w:fldCharType="end"/>
        </w:r>
      </w:p>
    </w:sdtContent>
  </w:sdt>
  <w:p w:rsidR="004613A5" w:rsidRDefault="004613A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E3B" w:rsidRDefault="00740E3B" w:rsidP="004613A5">
      <w:pPr>
        <w:spacing w:after="0" w:line="240" w:lineRule="auto"/>
      </w:pPr>
      <w:r>
        <w:separator/>
      </w:r>
    </w:p>
  </w:footnote>
  <w:footnote w:type="continuationSeparator" w:id="0">
    <w:p w:rsidR="00740E3B" w:rsidRDefault="00740E3B" w:rsidP="00461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E0A"/>
    <w:rsid w:val="000C0225"/>
    <w:rsid w:val="001A4051"/>
    <w:rsid w:val="00237C31"/>
    <w:rsid w:val="004613A5"/>
    <w:rsid w:val="00740E3B"/>
    <w:rsid w:val="00845578"/>
    <w:rsid w:val="00AB562A"/>
    <w:rsid w:val="00BD4E0A"/>
    <w:rsid w:val="00C0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EF7"/>
  </w:style>
  <w:style w:type="paragraph" w:styleId="1">
    <w:name w:val="heading 1"/>
    <w:basedOn w:val="a"/>
    <w:next w:val="a"/>
    <w:link w:val="10"/>
    <w:uiPriority w:val="9"/>
    <w:qFormat/>
    <w:rsid w:val="008455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5EF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455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845578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45578"/>
    <w:pPr>
      <w:spacing w:after="100"/>
    </w:pPr>
  </w:style>
  <w:style w:type="character" w:styleId="a6">
    <w:name w:val="Hyperlink"/>
    <w:basedOn w:val="a0"/>
    <w:uiPriority w:val="99"/>
    <w:unhideWhenUsed/>
    <w:rsid w:val="0084557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61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613A5"/>
  </w:style>
  <w:style w:type="paragraph" w:styleId="a9">
    <w:name w:val="footer"/>
    <w:basedOn w:val="a"/>
    <w:link w:val="aa"/>
    <w:uiPriority w:val="99"/>
    <w:unhideWhenUsed/>
    <w:rsid w:val="00461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613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EF7"/>
  </w:style>
  <w:style w:type="paragraph" w:styleId="1">
    <w:name w:val="heading 1"/>
    <w:basedOn w:val="a"/>
    <w:next w:val="a"/>
    <w:link w:val="10"/>
    <w:uiPriority w:val="9"/>
    <w:qFormat/>
    <w:rsid w:val="008455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5EF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455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845578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45578"/>
    <w:pPr>
      <w:spacing w:after="100"/>
    </w:pPr>
  </w:style>
  <w:style w:type="character" w:styleId="a6">
    <w:name w:val="Hyperlink"/>
    <w:basedOn w:val="a0"/>
    <w:uiPriority w:val="99"/>
    <w:unhideWhenUsed/>
    <w:rsid w:val="0084557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61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613A5"/>
  </w:style>
  <w:style w:type="paragraph" w:styleId="a9">
    <w:name w:val="footer"/>
    <w:basedOn w:val="a"/>
    <w:link w:val="aa"/>
    <w:uiPriority w:val="99"/>
    <w:unhideWhenUsed/>
    <w:rsid w:val="00461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61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w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A2991-B172-4940-A3C8-6A448E6CA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2507</Words>
  <Characters>14292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5</cp:revision>
  <dcterms:created xsi:type="dcterms:W3CDTF">2015-08-15T07:53:00Z</dcterms:created>
  <dcterms:modified xsi:type="dcterms:W3CDTF">2015-08-15T08:21:00Z</dcterms:modified>
</cp:coreProperties>
</file>