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92" w:rsidRDefault="00A52592" w:rsidP="007D15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A5D63">
        <w:rPr>
          <w:rFonts w:ascii="Times New Roman" w:hAnsi="Times New Roman" w:cs="Times New Roman"/>
          <w:b/>
          <w:sz w:val="28"/>
          <w:szCs w:val="28"/>
        </w:rPr>
        <w:t>Электрические станции и подстанции</w:t>
      </w:r>
    </w:p>
    <w:p w:rsidR="00782153" w:rsidRDefault="00A52592" w:rsidP="007D15B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1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Лекция№10.</w:t>
      </w:r>
      <w:r w:rsidR="00782153" w:rsidRPr="007D1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ЭЛЕКТРОДИНАМИЧЕСКОЕ ВЗАИМОДЕЙСТВИЕ ПРОВОДНИКОВ С ТОКАМИ В СХЕМАХ ЭНЕРГОУСТАНОВОК.</w:t>
      </w:r>
    </w:p>
    <w:sdt>
      <w:sdtPr>
        <w:id w:val="-41070051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661825" w:rsidRPr="00661825" w:rsidRDefault="00661825" w:rsidP="00661825">
          <w:pPr>
            <w:pStyle w:val="a9"/>
            <w:spacing w:before="120" w:after="120" w:line="240" w:lineRule="auto"/>
            <w:jc w:val="center"/>
            <w:rPr>
              <w:rFonts w:ascii="Times New Roman" w:hAnsi="Times New Roman" w:cs="Times New Roman"/>
            </w:rPr>
          </w:pPr>
          <w:r w:rsidRPr="00661825">
            <w:rPr>
              <w:rFonts w:ascii="Times New Roman" w:hAnsi="Times New Roman" w:cs="Times New Roman"/>
            </w:rPr>
            <w:t>Оглавление</w:t>
          </w:r>
        </w:p>
        <w:p w:rsidR="00861E46" w:rsidRPr="00861E46" w:rsidRDefault="00661825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6182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6182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182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7418373" w:history="1">
            <w:r w:rsidR="00861E46"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10.1 Силы взаимодействия двух проводников.</w:t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_Toc427418373 \h </w:instrText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61E46"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1E46" w:rsidRPr="00861E46" w:rsidRDefault="00861E4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7418374" w:history="1">
            <w:r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10.2 Силы в трехфазной системе проводников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_Toc427418374 \h </w:instrTex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1E46" w:rsidRPr="00861E46" w:rsidRDefault="00861E4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7418375" w:history="1">
            <w:r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10.3 Электродинамическая стойкость жёстких проводников</w:t>
            </w:r>
            <w:r w:rsidRPr="00861E46">
              <w:rPr>
                <w:rStyle w:val="aa"/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.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_Toc427418375 \h </w:instrTex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1E46" w:rsidRPr="00861E46" w:rsidRDefault="00861E4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7418376" w:history="1">
            <w:r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10.4 Выбор изоляторов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_Toc427418376 \h </w:instrTex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1E46" w:rsidRPr="00861E46" w:rsidRDefault="00861E4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7418377" w:history="1">
            <w:r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10.5 Электродинамическая стойкость гибких проводников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_Toc427418377 \h </w:instrTex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1E46" w:rsidRDefault="00861E46">
          <w:pPr>
            <w:pStyle w:val="1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7418378" w:history="1">
            <w:r w:rsidRPr="00861E46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10.6 Электродинамическая стойкость аппаратов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_Toc427418378 \h </w:instrTex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61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2153" w:rsidRPr="00661825" w:rsidRDefault="00661825" w:rsidP="00661825">
          <w:pPr>
            <w:spacing w:after="0" w:line="240" w:lineRule="auto"/>
          </w:pPr>
          <w:r w:rsidRPr="0066182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82153" w:rsidRPr="00782153" w:rsidRDefault="00782153" w:rsidP="00F76C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проводники и аппараты подвергаются воздействию значительных электродинамических сил, которые могут достигать 4000 – 16000 Н. Эти силы могут вызвать остаточную деформацию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жёстких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проводников ,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схлестывание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гибких проводников, вызвать отказ во включении выключателей или самопроизвольное отключение разъединителей. Чтобы этого не случилось, все системы токоведущих частей и электрические аппараты проверяются на электродинамическую стойкость при проектировании первичной электрической схемы.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физики известно, что на элемент проводника 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dl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током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магнитном поле с индукцией 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действует сила 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dF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=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iBdlsinα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Магнитное поле может быть создано другим проводником с током, тогда говорят о взаимодействии двух проводников с токами.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Магнитную индукцию от проводника с током можно определить с помощью закона Био-Савара, но иногда бывает удобнее определить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закона полного тока: </w:t>
      </w:r>
      <w:r w:rsidR="00EC020A" w:rsidRPr="0078215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21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3pt" o:ole="">
            <v:imagedata r:id="rId9" o:title=""/>
          </v:shape>
          <o:OLEObject Type="Embed" ProgID="Equation.3" ShapeID="_x0000_i1025" DrawAspect="Content" ObjectID="_1501160384" r:id="rId10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020A" w:rsidRPr="00EC020A" w:rsidRDefault="00661825" w:rsidP="0066182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bookmarkStart w:id="0" w:name="_Toc427418373"/>
      <w:r w:rsidR="00EC020A" w:rsidRPr="00EC020A">
        <w:rPr>
          <w:rFonts w:ascii="Times New Roman" w:eastAsia="Times New Roman" w:hAnsi="Times New Roman" w:cs="Times New Roman"/>
          <w:lang w:eastAsia="ru-RU"/>
        </w:rPr>
        <w:t xml:space="preserve">10.1 </w:t>
      </w:r>
      <w:r w:rsidR="00782153" w:rsidRPr="00EC020A">
        <w:rPr>
          <w:rFonts w:ascii="Times New Roman" w:eastAsia="Times New Roman" w:hAnsi="Times New Roman" w:cs="Times New Roman"/>
          <w:lang w:eastAsia="ru-RU"/>
        </w:rPr>
        <w:t>Силы взаимодействия двух проводников.</w:t>
      </w:r>
      <w:bookmarkEnd w:id="0"/>
      <w:r w:rsidR="00782153" w:rsidRPr="00EC020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взаимодействие между проводниками  в схемах энергоустановок сводится к взаимодействию двух параллельных проводников с токами. Рассмотрим этот случай подробнее (Рис.10.1). Пусть проводники длиной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на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расстоянии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Ток в одном проводнике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в другом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Будем считать, что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»а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(это часто имеет место на практике), тогда для вычисления индукции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proofErr w:type="gramEnd"/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первого проводника в районе второго воспользуемся законом полного тока.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30700" cy="2755900"/>
            <wp:effectExtent l="0" t="0" r="0" b="6350"/>
            <wp:docPr id="5" name="Рисунок 5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ba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53" w:rsidRPr="00782153" w:rsidRDefault="00782153" w:rsidP="00782153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10.1 Взаимодействие двух проводников с токами и определение направления силы с помощью правила левой руки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контура интегрирования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выберем окружность с радиусом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Тогда получим </w:t>
      </w:r>
      <w:r w:rsidRPr="0078215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260" w:dyaOrig="580">
          <v:shape id="_x0000_i1026" type="#_x0000_t75" style="width:63pt;height:29pt" o:ole="">
            <v:imagedata r:id="rId12" o:title=""/>
          </v:shape>
          <o:OLEObject Type="Embed" ProgID="Equation.3" ShapeID="_x0000_i1026" DrawAspect="Content" ObjectID="_1501160385" r:id="rId13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т.к. в силу симметрии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const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контуре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можно записать </w:t>
      </w:r>
      <w:r w:rsidRPr="0078215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280" w:dyaOrig="580">
          <v:shape id="_x0000_i1027" type="#_x0000_t75" style="width:64pt;height:29pt" o:ole="">
            <v:imagedata r:id="rId14" o:title=""/>
          </v:shape>
          <o:OLEObject Type="Embed" ProgID="Equation.3" ShapeID="_x0000_i1027" DrawAspect="Content" ObjectID="_1501160386" r:id="rId15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последнего выражения можно записать для индукции от первого проводника в районе второго: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99" w:dyaOrig="639">
          <v:shape id="_x0000_i1028" type="#_x0000_t75" style="width:50pt;height:32pt" o:ole="">
            <v:imagedata r:id="rId16" o:title=""/>
          </v:shape>
          <o:OLEObject Type="Embed" ProgID="Equation.3" ShapeID="_x0000_i1028" DrawAspect="Content" ObjectID="_1501160387" r:id="rId17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Зная индукцию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определить силу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действующую на элемент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dl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проводника с током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060" w:dyaOrig="639">
          <v:shape id="_x0000_i1029" type="#_x0000_t75" style="width:153pt;height:32pt" o:ole="">
            <v:imagedata r:id="rId18" o:title=""/>
          </v:shape>
          <o:OLEObject Type="Embed" ProgID="Equation.3" ShapeID="_x0000_i1029" DrawAspect="Content" ObjectID="_1501160388" r:id="rId19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нашем случае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sin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α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=1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т.к.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α=π/2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сила, действующая на весь второй проводник: 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980" w:dyaOrig="760">
          <v:shape id="_x0000_i1030" type="#_x0000_t75" style="width:99pt;height:38pt" o:ole="">
            <v:imagedata r:id="rId20" o:title=""/>
          </v:shape>
          <o:OLEObject Type="Embed" ProgID="Equation.3" ShapeID="_x0000_i1030" DrawAspect="Content" ObjectID="_1501160389" r:id="rId21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практических расчетах динамической стойкости пользуются понятием погонной силы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пог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[Н/м]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нашего случая с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что     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μ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=4π10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-7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Гн/м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выражение для погонной силы примет вид: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740" w:dyaOrig="639">
          <v:shape id="_x0000_i1031" type="#_x0000_t75" style="width:87pt;height:32pt" o:ole="">
            <v:imagedata r:id="rId22" o:title=""/>
          </v:shape>
          <o:OLEObject Type="Embed" ProgID="Equation.3" ShapeID="_x0000_i1031" DrawAspect="Content" ObjectID="_1501160390" r:id="rId23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погонная сила пропорциональна произведению токов во взаимодействующих проводниках и обратнопропорциональна расстоянию между ними. 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предыдущих формулах предполагалось, что взаимодействующие проводники бесконечно тонкие. Для проводников конечного сечения: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000" w:dyaOrig="639">
          <v:shape id="_x0000_i1032" type="#_x0000_t75" style="width:100pt;height:32pt" o:ole="">
            <v:imagedata r:id="rId24" o:title=""/>
          </v:shape>
          <o:OLEObject Type="Embed" ProgID="Equation.3" ShapeID="_x0000_i1032" DrawAspect="Content" ObjectID="_1501160391" r:id="rId25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формы проводника, значения которого приводится в справочниках.</w:t>
      </w:r>
    </w:p>
    <w:p w:rsidR="00EC020A" w:rsidRDefault="00661825" w:rsidP="0066182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bookmarkStart w:id="1" w:name="_Toc427418374"/>
      <w:r w:rsidR="00EC020A" w:rsidRPr="00EC020A">
        <w:rPr>
          <w:rFonts w:ascii="Times New Roman" w:eastAsia="Times New Roman" w:hAnsi="Times New Roman" w:cs="Times New Roman"/>
          <w:lang w:eastAsia="ru-RU"/>
        </w:rPr>
        <w:t xml:space="preserve">10.2 </w:t>
      </w:r>
      <w:r w:rsidR="00782153" w:rsidRPr="00EC020A">
        <w:rPr>
          <w:rFonts w:ascii="Times New Roman" w:eastAsia="Times New Roman" w:hAnsi="Times New Roman" w:cs="Times New Roman"/>
          <w:lang w:eastAsia="ru-RU"/>
        </w:rPr>
        <w:t>Силы в</w:t>
      </w:r>
      <w:r w:rsidR="00EC020A">
        <w:rPr>
          <w:rFonts w:ascii="Times New Roman" w:eastAsia="Times New Roman" w:hAnsi="Times New Roman" w:cs="Times New Roman"/>
          <w:lang w:eastAsia="ru-RU"/>
        </w:rPr>
        <w:t xml:space="preserve"> трехфазной системе проводников</w:t>
      </w:r>
      <w:bookmarkEnd w:id="1"/>
      <w:r w:rsidR="00782153" w:rsidRPr="0078215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наиболее частый случай, когда проводники фаз располагаются в одной плоскости (Рис.10.2).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7600" cy="2578100"/>
            <wp:effectExtent l="0" t="0" r="6350" b="0"/>
            <wp:docPr id="4" name="Рисунок 4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ba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10.2 Силы в трёхфазной системе токов.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фазных проводниках протекают токи, которые представляют собой синусоиды с амплитудами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m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80" w:dyaOrig="380">
          <v:shape id="_x0000_i1033" type="#_x0000_t75" style="width:114pt;height:19pt" o:ole="">
            <v:imagedata r:id="rId27" o:title=""/>
          </v:shape>
          <o:OLEObject Type="Embed" ProgID="Equation.3" ShapeID="_x0000_i1033" DrawAspect="Content" ObjectID="_1501160392" r:id="rId28"/>
        </w:objec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20" w:dyaOrig="360">
          <v:shape id="_x0000_i1034" type="#_x0000_t75" style="width:66pt;height:18pt" o:ole="">
            <v:imagedata r:id="rId29" o:title=""/>
          </v:shape>
          <o:OLEObject Type="Embed" ProgID="Equation.3" ShapeID="_x0000_i1034" DrawAspect="Content" ObjectID="_1501160393" r:id="rId30"/>
        </w:objec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60" w:dyaOrig="380">
          <v:shape id="_x0000_i1035" type="#_x0000_t75" style="width:113pt;height:19pt" o:ole="">
            <v:imagedata r:id="rId31" o:title=""/>
          </v:shape>
          <o:OLEObject Type="Embed" ProgID="Equation.3" ShapeID="_x0000_i1035" DrawAspect="Content" ObjectID="_1501160394" r:id="rId32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Сила, действующая на проводник средней фазы, больше сил действующих на крайние фазы, поэтому рассмотрим силу, действующую на среднюю фазу. Эта сила будет складываться из двух сил – силы действующей на фазу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фазы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силы действующей на фазу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фазы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8640" w:dyaOrig="660">
          <v:shape id="_x0000_i1036" type="#_x0000_t75" style="width:6in;height:33pt" o:ole="">
            <v:imagedata r:id="rId33" o:title=""/>
          </v:shape>
          <o:OLEObject Type="Embed" ProgID="Equation.3" ShapeID="_x0000_i1036" DrawAspect="Content" ObjectID="_1501160395" r:id="rId34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Окончательно, с учетом формулы двойного угла и коэффициента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погонной силы, действующей на среднюю фазу, можно записать: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659" w:dyaOrig="660">
          <v:shape id="_x0000_i1037" type="#_x0000_t75" style="width:133pt;height:33pt" o:ole="">
            <v:imagedata r:id="rId35" o:title=""/>
          </v:shape>
          <o:OLEObject Type="Embed" ProgID="Equation.3" ShapeID="_x0000_i1037" DrawAspect="Content" ObjectID="_1501160396" r:id="rId36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образом, сила изменяется с частотой в два раза большей частоты сети. Максимальное значение погонной силы будет равно: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960" w:dyaOrig="660">
          <v:shape id="_x0000_i1038" type="#_x0000_t75" style="width:98pt;height:33pt" o:ole="">
            <v:imagedata r:id="rId37" o:title=""/>
          </v:shape>
          <o:OLEObject Type="Embed" ProgID="Equation.3" ShapeID="_x0000_i1038" DrawAspect="Content" ObjectID="_1501160397" r:id="rId38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переходном процессе КЗ наибольшее мгновенное значение тока равно его ударному значению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приближенно можно записать: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900" w:dyaOrig="700">
          <v:shape id="_x0000_i1039" type="#_x0000_t75" style="width:95pt;height:35pt" o:ole="">
            <v:imagedata r:id="rId39" o:title=""/>
          </v:shape>
          <o:OLEObject Type="Embed" ProgID="Equation.3" ShapeID="_x0000_i1039" DrawAspect="Content" ObjectID="_1501160398" r:id="rId40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Наибольшие усилия между проводниками возникают при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трёхфазном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КЗ, поэтому этот вид КЗ является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расчётным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проводников и аппаратов на электродинамическую стойкость.</w:t>
      </w:r>
    </w:p>
    <w:p w:rsidR="001F7D55" w:rsidRDefault="00661825" w:rsidP="0066182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bookmarkStart w:id="2" w:name="_Toc427418375"/>
      <w:r w:rsidR="001F7D55" w:rsidRPr="001F7D55">
        <w:rPr>
          <w:rFonts w:ascii="Times New Roman" w:eastAsia="Times New Roman" w:hAnsi="Times New Roman" w:cs="Times New Roman"/>
          <w:lang w:eastAsia="ru-RU"/>
        </w:rPr>
        <w:t xml:space="preserve">10.3 </w:t>
      </w:r>
      <w:r w:rsidR="00782153" w:rsidRPr="001F7D55">
        <w:rPr>
          <w:rFonts w:ascii="Times New Roman" w:eastAsia="Times New Roman" w:hAnsi="Times New Roman" w:cs="Times New Roman"/>
          <w:lang w:eastAsia="ru-RU"/>
        </w:rPr>
        <w:t xml:space="preserve">Электродинамическая стойкость </w:t>
      </w:r>
      <w:r w:rsidR="007D15B6" w:rsidRPr="001F7D55">
        <w:rPr>
          <w:rFonts w:ascii="Times New Roman" w:eastAsia="Times New Roman" w:hAnsi="Times New Roman" w:cs="Times New Roman"/>
          <w:lang w:eastAsia="ru-RU"/>
        </w:rPr>
        <w:t>жёстких</w:t>
      </w:r>
      <w:r w:rsidR="00782153" w:rsidRPr="001F7D55">
        <w:rPr>
          <w:rFonts w:ascii="Times New Roman" w:eastAsia="Times New Roman" w:hAnsi="Times New Roman" w:cs="Times New Roman"/>
          <w:lang w:eastAsia="ru-RU"/>
        </w:rPr>
        <w:t xml:space="preserve"> проводников</w:t>
      </w:r>
      <w:r w:rsidR="00782153" w:rsidRPr="00782153">
        <w:rPr>
          <w:rFonts w:ascii="Times New Roman" w:eastAsia="Times New Roman" w:hAnsi="Times New Roman" w:cs="Times New Roman"/>
          <w:i/>
          <w:lang w:eastAsia="ru-RU"/>
        </w:rPr>
        <w:t>.</w:t>
      </w:r>
      <w:bookmarkEnd w:id="2"/>
      <w:r w:rsidR="00782153" w:rsidRPr="0078215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82153" w:rsidRPr="00782153" w:rsidRDefault="00782153" w:rsidP="001F7D5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Электродинамическая стойкость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жёстких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проводников будет обеспечена, если будет выполнено условие:</w:t>
      </w:r>
    </w:p>
    <w:p w:rsidR="00782153" w:rsidRPr="00782153" w:rsidRDefault="00782153" w:rsidP="00782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r w:rsidR="007D15B6"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7D15B6"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асч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расчётное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механическое напряжение в материале проводника;</w:t>
      </w:r>
    </w:p>
    <w:p w:rsidR="00782153" w:rsidRPr="00782153" w:rsidRDefault="007D15B6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оп</w:t>
      </w:r>
      <w:r w:rsidR="00782153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допустимое механическое напряжение в материале проводника (согласно ПУЭ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оп</w:t>
      </w:r>
      <w:r w:rsidR="00782153"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=0,7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азр</w:t>
      </w:r>
      <w:r w:rsidR="00782153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примера рассмотрим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электродинамической стойкости проводников из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жёстких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однополосных шин (Рис.10.3).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Жёсткие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шины, как правило, жестко крепятся только к одному изолятору в пролёте. На остальных изоляторах шины крепятся с помощью накладок, обеспечивающих возможность продольного перемещения шин. Это необходимо для того, чтобы не развивались механические напряжения в шинах и изоляторах при изменении температуры.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проводится для фазы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причём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т.к. в практических конструкциях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=1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Равномерно распределенная сила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640" w:dyaOrig="700">
          <v:shape id="_x0000_i1040" type="#_x0000_t75" style="width:82pt;height:35pt" o:ole="">
            <v:imagedata r:id="rId41" o:title=""/>
          </v:shape>
          <o:OLEObject Type="Embed" ProgID="Equation.3" ShapeID="_x0000_i1040" DrawAspect="Content" ObjectID="_1501160399" r:id="rId42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создаёт изгибающий момент </w:t>
      </w:r>
      <w:r w:rsidRPr="0078215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140" w:dyaOrig="720">
          <v:shape id="_x0000_i1041" type="#_x0000_t75" style="width:57pt;height:36pt" o:ole="">
            <v:imagedata r:id="rId43" o:title=""/>
          </v:shape>
          <o:OLEObject Type="Embed" ProgID="Equation.3" ShapeID="_x0000_i1041" DrawAspect="Content" ObjectID="_1501160400" r:id="rId44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зависящий от способа закрепления шин на опорных изоляторах. На основе практики в общем случае принимают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оп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=10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37100" cy="3657600"/>
            <wp:effectExtent l="0" t="0" r="6350" b="0"/>
            <wp:docPr id="3" name="Рисунок 3" descr="pro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ba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10.3 Динамическая стойкость </w:t>
      </w:r>
      <w:r w:rsidR="007D15B6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жёстких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шин: 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782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расстояние между фазами; 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782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расстояние между изоляторами; 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7821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сечения проводника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Воздействие момента вызывает в материале шин механическое напряжение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100" w:dyaOrig="620">
          <v:shape id="_x0000_i1042" type="#_x0000_t75" style="width:55pt;height:31pt" o:ole="">
            <v:imagedata r:id="rId46" o:title=""/>
          </v:shape>
          <o:OLEObject Type="Embed" ProgID="Equation.3" ShapeID="_x0000_i1042" DrawAspect="Content" ObjectID="_1501160401" r:id="rId47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момент сопротивления шины относительно оси, перпендикулярной действию силы [м</w:t>
      </w:r>
      <w:r w:rsidRPr="007821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зависит от формы и соотношения размеров в сечении проводника.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случае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020" w:dyaOrig="660">
          <v:shape id="_x0000_i1043" type="#_x0000_t75" style="width:51pt;height:33pt" o:ole="">
            <v:imagedata r:id="rId48" o:title=""/>
          </v:shape>
          <o:OLEObject Type="Embed" ProgID="Equation.3" ShapeID="_x0000_i1043" DrawAspect="Content" ObjectID="_1501160402" r:id="rId49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120" w:dyaOrig="660">
          <v:shape id="_x0000_i1044" type="#_x0000_t75" style="width:56pt;height:33pt" o:ole="">
            <v:imagedata r:id="rId50" o:title=""/>
          </v:shape>
          <o:OLEObject Type="Embed" ProgID="Equation.3" ShapeID="_x0000_i1044" DrawAspect="Content" ObjectID="_1501160403" r:id="rId51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</w:t>
      </w:r>
      <w:r w:rsidRPr="0078215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40" w:dyaOrig="380">
          <v:shape id="_x0000_i1045" type="#_x0000_t75" style="width:1in;height:19pt" o:ole="">
            <v:imagedata r:id="rId52" o:title=""/>
          </v:shape>
          <o:OLEObject Type="Embed" ProgID="Equation.3" ShapeID="_x0000_i1045" DrawAspect="Content" ObjectID="_1501160404" r:id="rId53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то, изменяя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добиваются выполнения условия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 к возрастанию габаритов установки, поэтому чаще прибегают к уменьшению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условия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определить пролет, который будет удовлетворять условию электродинамической  стойкости для </w:t>
      </w:r>
      <w:r w:rsidR="00EC020A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жёсткой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однополосной шины: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440" w:dyaOrig="760">
          <v:shape id="_x0000_i1046" type="#_x0000_t75" style="width:1in;height:38pt" o:ole="">
            <v:imagedata r:id="rId54" o:title=""/>
          </v:shape>
          <o:OLEObject Type="Embed" ProgID="Equation.3" ShapeID="_x0000_i1046" DrawAspect="Content" ObjectID="_1501160405" r:id="rId55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(1)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Полученная формула справедлива при статическом действии силы. Но, как отмечалось выше, электродинамическая сила является переменной во времени. Это может привести к механическому резонансу в системе жесткие шины-изоляторы, когда собственные частоты системы будут близки к 50 и 100 Гц. Если же собственные частоты системы будут меньше 30 или больше 200 Гц, то механический резонанс не возникает и проверка шин на электродинамическую стойкость производится как в статическом случае.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Частота собственных колебаний можно вычислить на основе следующих выражений: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алюминиевых шин </w:t>
      </w:r>
      <w:r w:rsidRPr="00782153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1500" w:dyaOrig="700">
          <v:shape id="_x0000_i1047" type="#_x0000_t75" style="width:75pt;height:35pt" o:ole="">
            <v:imagedata r:id="rId56" o:title=""/>
          </v:shape>
          <o:OLEObject Type="Embed" ProgID="Equation.3" ShapeID="_x0000_i1047" DrawAspect="Content" ObjectID="_1501160406" r:id="rId57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медных шин </w:t>
      </w:r>
      <w:r w:rsidRPr="00782153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1500" w:dyaOrig="700">
          <v:shape id="_x0000_i1048" type="#_x0000_t75" style="width:75pt;height:35pt" o:ole="">
            <v:imagedata r:id="rId58" o:title=""/>
          </v:shape>
          <o:OLEObject Type="Embed" ProgID="Equation.3" ShapeID="_x0000_i1048" DrawAspect="Content" ObjectID="_1501160407" r:id="rId59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расстояние между изоляторами, м;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момент инерции поперечного сечения шины относительно оси, перпендикулярной направлению изгибающей силы, см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площадь сечения шины, см</w:t>
      </w:r>
      <w:r w:rsidRPr="007821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добиваются того, чтобы механический резонанс был исключен, и одновременно выполнялось условие (1). Если только вариация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позволяет выполнить требуемые условия, то изменяют еще и форму сечения шины.</w:t>
      </w:r>
    </w:p>
    <w:p w:rsidR="001F7D55" w:rsidRPr="00661825" w:rsidRDefault="00661825" w:rsidP="00661825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color w:val="1F497D" w:themeColor="text2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lang w:eastAsia="ru-RU"/>
        </w:rPr>
        <w:tab/>
      </w:r>
      <w:r>
        <w:rPr>
          <w:rFonts w:ascii="Times New Roman" w:eastAsia="Times New Roman" w:hAnsi="Times New Roman" w:cs="Times New Roman"/>
          <w:color w:val="1F497D" w:themeColor="text2"/>
          <w:lang w:eastAsia="ru-RU"/>
        </w:rPr>
        <w:tab/>
      </w:r>
      <w:bookmarkStart w:id="3" w:name="_Toc427418376"/>
      <w:r w:rsidR="001F7D55" w:rsidRPr="00661825">
        <w:rPr>
          <w:rFonts w:ascii="Times New Roman" w:eastAsia="Times New Roman" w:hAnsi="Times New Roman" w:cs="Times New Roman"/>
          <w:color w:val="1F497D" w:themeColor="text2"/>
          <w:lang w:eastAsia="ru-RU"/>
        </w:rPr>
        <w:t xml:space="preserve">10.4 </w:t>
      </w:r>
      <w:r>
        <w:rPr>
          <w:rFonts w:ascii="Times New Roman" w:eastAsia="Times New Roman" w:hAnsi="Times New Roman" w:cs="Times New Roman"/>
          <w:color w:val="1F497D" w:themeColor="text2"/>
          <w:lang w:eastAsia="ru-RU"/>
        </w:rPr>
        <w:t>Выбор изоляторов</w:t>
      </w:r>
      <w:bookmarkEnd w:id="3"/>
      <w:r w:rsidR="00782153" w:rsidRPr="00661825">
        <w:rPr>
          <w:rFonts w:ascii="Times New Roman" w:eastAsia="Times New Roman" w:hAnsi="Times New Roman" w:cs="Times New Roman"/>
          <w:i/>
          <w:color w:val="1F497D" w:themeColor="text2"/>
          <w:lang w:eastAsia="ru-RU"/>
        </w:rPr>
        <w:t xml:space="preserve">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шины крепятся на опорных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изоляторах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необходима проверка их электродинамической стойкости (Рис.10.4). В общем случае выбор опорных изоляторов производится по следующим условиям:</w:t>
      </w:r>
    </w:p>
    <w:p w:rsidR="00782153" w:rsidRPr="00782153" w:rsidRDefault="00782153" w:rsidP="00782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номинальному напряжению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уст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ном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2153" w:rsidRPr="00782153" w:rsidRDefault="00782153" w:rsidP="00782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электродинамической стойкости 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proofErr w:type="gramEnd"/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сила, действующая на изолятор;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допустимая нагрузка на головку изолятора (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=0,6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разр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разр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разрушающая нагрузка на изгиб).</w:t>
      </w:r>
    </w:p>
    <w:p w:rsidR="00782153" w:rsidRPr="00782153" w:rsidRDefault="00782153" w:rsidP="00782153">
      <w:pPr>
        <w:spacing w:after="0" w:line="240" w:lineRule="auto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горизонтальном или вертикальном расположении изоляторов расчетная сила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расч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bm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lk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 на высоту шины </w:t>
      </w:r>
      <w:r w:rsidRPr="0078215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960" w:dyaOrig="680">
          <v:shape id="_x0000_i1049" type="#_x0000_t75" style="width:48pt;height:34pt" o:ole="">
            <v:imagedata r:id="rId60" o:title=""/>
          </v:shape>
          <o:OLEObject Type="Embed" ProgID="Equation.3" ShapeID="_x0000_i1049" DrawAspect="Content" ObjectID="_1501160408" r:id="rId61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00" w:dyaOrig="620">
          <v:shape id="_x0000_i1050" type="#_x0000_t75" style="width:65pt;height:31pt" o:ole="">
            <v:imagedata r:id="rId62" o:title=""/>
          </v:shape>
          <o:OLEObject Type="Embed" ProgID="Equation.3" ShapeID="_x0000_i1050" DrawAspect="Content" ObjectID="_1501160409" r:id="rId63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из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высота изолятора.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32000" cy="1778000"/>
            <wp:effectExtent l="0" t="0" r="6350" b="0"/>
            <wp:docPr id="2" name="Рисунок 2" descr="pro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roba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10.4 Динамическая стойкость опорного изолятора.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D55" w:rsidRDefault="00661825" w:rsidP="001F7D55">
      <w:pPr>
        <w:pStyle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bookmarkStart w:id="4" w:name="_Toc427418377"/>
      <w:r>
        <w:rPr>
          <w:rFonts w:ascii="Times New Roman" w:eastAsia="Times New Roman" w:hAnsi="Times New Roman" w:cs="Times New Roman"/>
          <w:lang w:eastAsia="ru-RU"/>
        </w:rPr>
        <w:t>10.5</w:t>
      </w:r>
      <w:r w:rsidR="001F7D55" w:rsidRPr="001F7D55">
        <w:rPr>
          <w:rFonts w:ascii="Times New Roman" w:eastAsia="Times New Roman" w:hAnsi="Times New Roman" w:cs="Times New Roman"/>
          <w:lang w:eastAsia="ru-RU"/>
        </w:rPr>
        <w:t xml:space="preserve"> </w:t>
      </w:r>
      <w:r w:rsidR="00782153" w:rsidRPr="001F7D55">
        <w:rPr>
          <w:rFonts w:ascii="Times New Roman" w:eastAsia="Times New Roman" w:hAnsi="Times New Roman" w:cs="Times New Roman"/>
          <w:lang w:eastAsia="ru-RU"/>
        </w:rPr>
        <w:t>Электродинамическ</w:t>
      </w:r>
      <w:r w:rsidR="001F7D55">
        <w:rPr>
          <w:rFonts w:ascii="Times New Roman" w:eastAsia="Times New Roman" w:hAnsi="Times New Roman" w:cs="Times New Roman"/>
          <w:lang w:eastAsia="ru-RU"/>
        </w:rPr>
        <w:t>ая стойкость гибких проводников</w:t>
      </w:r>
      <w:bookmarkEnd w:id="4"/>
    </w:p>
    <w:p w:rsidR="00782153" w:rsidRPr="00782153" w:rsidRDefault="004079AC" w:rsidP="006618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2153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Электродинамическая стойкость гибких проводников подвешенных на подвесных </w:t>
      </w:r>
      <w:proofErr w:type="gramStart"/>
      <w:r w:rsidR="00782153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изоляторах</w:t>
      </w:r>
      <w:proofErr w:type="gramEnd"/>
      <w:r w:rsidR="00782153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сводится к проверке на схлёстывание, при котором может произойти недопустимое сближение соседних фаз и пробой между ними.</w:t>
      </w:r>
    </w:p>
    <w:p w:rsidR="00782153" w:rsidRPr="00782153" w:rsidRDefault="00782153" w:rsidP="00661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сближение наблюдается при двухфазных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(Рис.10.5), когда провода сначала отбрасываются в противоположные стороны, а затем после отключения тока КЗ движутся навстречу друг другу. Сближение будет тем больше, чем меньше расстояние между фазами, больше стрела провеса, больше величина и время протекания тока  КЗ.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0" cy="2921000"/>
            <wp:effectExtent l="0" t="0" r="0" b="0"/>
            <wp:docPr id="1" name="Рисунок 1" descr="prob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roba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Рис. 10.5 Динамическая стойкость гибких проводников.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динамической стойкости будет выполнение соотношения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≤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proofErr w:type="gramEnd"/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(2)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отклонение от нормального положения провода, 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proofErr w:type="gramEnd"/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допустимое отклонение. 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определяется при известной стреле провеса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массе погонного метра провода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расстояния между проводами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Допустимое отклонение определяется по наименьшему допустимому расстоянию между соседними фазами в момент их наибольшего сближения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доп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диаметру провода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расстоянию между фазами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8215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880" w:dyaOrig="639">
          <v:shape id="_x0000_i1051" type="#_x0000_t75" style="width:94pt;height:32pt" o:ole="">
            <v:imagedata r:id="rId66" o:title=""/>
          </v:shape>
          <o:OLEObject Type="Embed" ProgID="Equation.3" ShapeID="_x0000_i1051" DrawAspect="Content" ObjectID="_1501160410" r:id="rId67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153" w:rsidRPr="00782153" w:rsidRDefault="00782153" w:rsidP="00782153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условие (2) не выполняется, то увеличивают расстояние между фазами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уменьшают стрелу провеса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7D55" w:rsidRPr="00861E46" w:rsidRDefault="001F7D55" w:rsidP="00861E46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color w:val="1F497D" w:themeColor="text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bookmarkStart w:id="5" w:name="_Toc427418378"/>
      <w:r w:rsidRPr="00861E46">
        <w:rPr>
          <w:rFonts w:ascii="Times New Roman" w:eastAsia="Times New Roman" w:hAnsi="Times New Roman" w:cs="Times New Roman"/>
          <w:color w:val="1F497D" w:themeColor="text2"/>
          <w:lang w:eastAsia="ru-RU"/>
        </w:rPr>
        <w:t>10.</w:t>
      </w:r>
      <w:r w:rsidR="00661825" w:rsidRPr="00861E46">
        <w:rPr>
          <w:rFonts w:ascii="Times New Roman" w:eastAsia="Times New Roman" w:hAnsi="Times New Roman" w:cs="Times New Roman"/>
          <w:color w:val="1F497D" w:themeColor="text2"/>
          <w:lang w:eastAsia="ru-RU"/>
        </w:rPr>
        <w:t>6</w:t>
      </w:r>
      <w:r w:rsidRPr="00861E46">
        <w:rPr>
          <w:rFonts w:ascii="Times New Roman" w:eastAsia="Times New Roman" w:hAnsi="Times New Roman" w:cs="Times New Roman"/>
          <w:color w:val="1F497D" w:themeColor="text2"/>
          <w:lang w:eastAsia="ru-RU"/>
        </w:rPr>
        <w:t xml:space="preserve"> </w:t>
      </w:r>
      <w:r w:rsidR="00782153" w:rsidRPr="00861E46">
        <w:rPr>
          <w:rFonts w:ascii="Times New Roman" w:eastAsia="Times New Roman" w:hAnsi="Times New Roman" w:cs="Times New Roman"/>
          <w:color w:val="1F497D" w:themeColor="text2"/>
          <w:lang w:eastAsia="ru-RU"/>
        </w:rPr>
        <w:t>Электродинамическая стойкость аппаратов</w:t>
      </w:r>
      <w:bookmarkEnd w:id="5"/>
    </w:p>
    <w:p w:rsidR="001F7D55" w:rsidRDefault="00782153" w:rsidP="001F7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5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обеспечена, если будет выполняться условие </w:t>
      </w:r>
      <w:r w:rsidRPr="0078215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900" w:dyaOrig="400">
          <v:shape id="_x0000_i1052" type="#_x0000_t75" style="width:45pt;height:20pt" o:ole="">
            <v:imagedata r:id="rId68" o:title=""/>
          </v:shape>
          <o:OLEObject Type="Embed" ProgID="Equation.3" ShapeID="_x0000_i1052" DrawAspect="Content" ObjectID="_1501160411" r:id="rId69"/>
        </w:objec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proofErr w:type="gramStart"/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gramEnd"/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дин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 динамической стойкости </w:t>
      </w:r>
      <w:bookmarkStart w:id="6" w:name="_GoBack"/>
      <w:bookmarkEnd w:id="6"/>
    </w:p>
    <w:p w:rsidR="003F2087" w:rsidRDefault="00782153" w:rsidP="001F7D55">
      <w:pPr>
        <w:spacing w:after="0" w:line="240" w:lineRule="auto"/>
      </w:pP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аппарата, а 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у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(3)</w:t>
      </w:r>
      <w:r w:rsidRPr="007821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ударный ток при </w:t>
      </w:r>
      <w:r w:rsidR="00EC020A"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трёхфазном</w:t>
      </w:r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Pr="0078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цепи аппарата.</w:t>
      </w:r>
    </w:p>
    <w:sectPr w:rsidR="003F2087" w:rsidSect="00F76C8C">
      <w:footerReference w:type="default" r:id="rId7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BA" w:rsidRDefault="00F96CBA" w:rsidP="001F7D55">
      <w:pPr>
        <w:spacing w:after="0" w:line="240" w:lineRule="auto"/>
      </w:pPr>
      <w:r>
        <w:separator/>
      </w:r>
    </w:p>
  </w:endnote>
  <w:endnote w:type="continuationSeparator" w:id="0">
    <w:p w:rsidR="00F96CBA" w:rsidRDefault="00F96CBA" w:rsidP="001F7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008477"/>
      <w:docPartObj>
        <w:docPartGallery w:val="Page Numbers (Bottom of Page)"/>
        <w:docPartUnique/>
      </w:docPartObj>
    </w:sdtPr>
    <w:sdtContent>
      <w:p w:rsidR="001F7D55" w:rsidRDefault="001F7D5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E46">
          <w:rPr>
            <w:noProof/>
          </w:rPr>
          <w:t>7</w:t>
        </w:r>
        <w:r>
          <w:fldChar w:fldCharType="end"/>
        </w:r>
      </w:p>
    </w:sdtContent>
  </w:sdt>
  <w:p w:rsidR="001F7D55" w:rsidRDefault="001F7D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BA" w:rsidRDefault="00F96CBA" w:rsidP="001F7D55">
      <w:pPr>
        <w:spacing w:after="0" w:line="240" w:lineRule="auto"/>
      </w:pPr>
      <w:r>
        <w:separator/>
      </w:r>
    </w:p>
  </w:footnote>
  <w:footnote w:type="continuationSeparator" w:id="0">
    <w:p w:rsidR="00F96CBA" w:rsidRDefault="00F96CBA" w:rsidP="001F7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65ACE"/>
    <w:multiLevelType w:val="hybridMultilevel"/>
    <w:tmpl w:val="D64A52AC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E87"/>
    <w:rsid w:val="001F7D55"/>
    <w:rsid w:val="003F2087"/>
    <w:rsid w:val="004079AC"/>
    <w:rsid w:val="00661825"/>
    <w:rsid w:val="00782153"/>
    <w:rsid w:val="007D15B6"/>
    <w:rsid w:val="00861E46"/>
    <w:rsid w:val="00A52592"/>
    <w:rsid w:val="00DD7E87"/>
    <w:rsid w:val="00EC020A"/>
    <w:rsid w:val="00F76C8C"/>
    <w:rsid w:val="00F9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92"/>
  </w:style>
  <w:style w:type="paragraph" w:styleId="1">
    <w:name w:val="heading 1"/>
    <w:basedOn w:val="a"/>
    <w:next w:val="a"/>
    <w:link w:val="10"/>
    <w:uiPriority w:val="9"/>
    <w:qFormat/>
    <w:rsid w:val="001F7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1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7D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7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7D55"/>
  </w:style>
  <w:style w:type="paragraph" w:styleId="a7">
    <w:name w:val="footer"/>
    <w:basedOn w:val="a"/>
    <w:link w:val="a8"/>
    <w:uiPriority w:val="99"/>
    <w:unhideWhenUsed/>
    <w:rsid w:val="001F7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D55"/>
  </w:style>
  <w:style w:type="paragraph" w:styleId="a9">
    <w:name w:val="TOC Heading"/>
    <w:basedOn w:val="1"/>
    <w:next w:val="a"/>
    <w:uiPriority w:val="39"/>
    <w:semiHidden/>
    <w:unhideWhenUsed/>
    <w:qFormat/>
    <w:rsid w:val="0066182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1825"/>
    <w:pPr>
      <w:spacing w:after="100"/>
    </w:pPr>
  </w:style>
  <w:style w:type="character" w:styleId="aa">
    <w:name w:val="Hyperlink"/>
    <w:basedOn w:val="a0"/>
    <w:uiPriority w:val="99"/>
    <w:unhideWhenUsed/>
    <w:rsid w:val="006618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92"/>
  </w:style>
  <w:style w:type="paragraph" w:styleId="1">
    <w:name w:val="heading 1"/>
    <w:basedOn w:val="a"/>
    <w:next w:val="a"/>
    <w:link w:val="10"/>
    <w:uiPriority w:val="9"/>
    <w:qFormat/>
    <w:rsid w:val="001F7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1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7D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7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7D55"/>
  </w:style>
  <w:style w:type="paragraph" w:styleId="a7">
    <w:name w:val="footer"/>
    <w:basedOn w:val="a"/>
    <w:link w:val="a8"/>
    <w:uiPriority w:val="99"/>
    <w:unhideWhenUsed/>
    <w:rsid w:val="001F7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D55"/>
  </w:style>
  <w:style w:type="paragraph" w:styleId="a9">
    <w:name w:val="TOC Heading"/>
    <w:basedOn w:val="1"/>
    <w:next w:val="a"/>
    <w:uiPriority w:val="39"/>
    <w:semiHidden/>
    <w:unhideWhenUsed/>
    <w:qFormat/>
    <w:rsid w:val="0066182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1825"/>
    <w:pPr>
      <w:spacing w:after="100"/>
    </w:pPr>
  </w:style>
  <w:style w:type="character" w:styleId="aa">
    <w:name w:val="Hyperlink"/>
    <w:basedOn w:val="a0"/>
    <w:uiPriority w:val="99"/>
    <w:unhideWhenUsed/>
    <w:rsid w:val="006618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9" Type="http://schemas.openxmlformats.org/officeDocument/2006/relationships/image" Target="media/image17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3.wmf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png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66" Type="http://schemas.openxmlformats.org/officeDocument/2006/relationships/image" Target="media/image32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png"/><Relationship Id="rId69" Type="http://schemas.openxmlformats.org/officeDocument/2006/relationships/oleObject" Target="embeddings/oleObject28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7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F531-3E1C-4CB5-BE82-980EB1A9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2015-08-15T08:26:00Z</dcterms:created>
  <dcterms:modified xsi:type="dcterms:W3CDTF">2015-08-15T13:11:00Z</dcterms:modified>
</cp:coreProperties>
</file>